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51AC" w:rsidRPr="00891464"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891464">
        <w:rPr>
          <w:lang w:val="en-US"/>
        </w:rPr>
        <w:t>Section 3 - Evaluation and Qualification Criteria</w:t>
      </w:r>
      <w:bookmarkEnd w:id="0"/>
      <w:bookmarkEnd w:id="1"/>
      <w:bookmarkEnd w:id="2"/>
      <w:bookmarkEnd w:id="3"/>
    </w:p>
    <w:p w:rsidR="00A2156A" w:rsidRPr="00891464" w:rsidRDefault="00A2156A">
      <w:pPr>
        <w:pStyle w:val="Heading2"/>
        <w:ind w:left="360" w:right="0"/>
      </w:pPr>
    </w:p>
    <w:p w:rsidR="00512939" w:rsidRPr="00891464" w:rsidRDefault="00512939" w:rsidP="00512939"/>
    <w:p w:rsidR="004051AC" w:rsidRPr="00891464" w:rsidRDefault="004051AC">
      <w:pPr>
        <w:pStyle w:val="Heading2"/>
        <w:ind w:left="360" w:right="0"/>
      </w:pPr>
      <w:r w:rsidRPr="00891464">
        <w:t>Table of Criter</w:t>
      </w:r>
      <w:r w:rsidR="00D530AE" w:rsidRPr="00891464">
        <w:t>i</w:t>
      </w:r>
      <w:r w:rsidRPr="00891464">
        <w:t>a</w:t>
      </w:r>
    </w:p>
    <w:p w:rsidR="004051AC" w:rsidRPr="00891464" w:rsidRDefault="004051AC">
      <w:pPr>
        <w:pStyle w:val="TOC1"/>
        <w:tabs>
          <w:tab w:val="left" w:pos="900"/>
          <w:tab w:val="right" w:leader="dot" w:pos="9638"/>
        </w:tabs>
        <w:ind w:left="360"/>
        <w:rPr>
          <w:rFonts w:cs="Arial"/>
          <w:b w:val="0"/>
          <w:bCs/>
        </w:rPr>
      </w:pPr>
    </w:p>
    <w:p w:rsidR="00D040BE" w:rsidRPr="00891464" w:rsidRDefault="00F61857">
      <w:pPr>
        <w:pStyle w:val="TOC1"/>
        <w:tabs>
          <w:tab w:val="left" w:pos="480"/>
          <w:tab w:val="right" w:leader="dot" w:pos="9638"/>
        </w:tabs>
        <w:rPr>
          <w:rFonts w:ascii="Times New Roman" w:hAnsi="Times New Roman"/>
          <w:b w:val="0"/>
          <w:noProof/>
          <w:sz w:val="24"/>
          <w:szCs w:val="24"/>
        </w:rPr>
      </w:pPr>
      <w:r w:rsidRPr="00891464">
        <w:rPr>
          <w:rFonts w:cs="Arial"/>
          <w:b w:val="0"/>
          <w:bCs/>
        </w:rPr>
        <w:fldChar w:fldCharType="begin"/>
      </w:r>
      <w:r w:rsidR="004051AC" w:rsidRPr="00891464">
        <w:rPr>
          <w:rFonts w:cs="Arial"/>
          <w:b w:val="0"/>
          <w:bCs/>
        </w:rPr>
        <w:instrText xml:space="preserve"> TOC \t "Heading 1,1" </w:instrText>
      </w:r>
      <w:r w:rsidRPr="00891464">
        <w:rPr>
          <w:rFonts w:cs="Arial"/>
          <w:b w:val="0"/>
          <w:bCs/>
        </w:rPr>
        <w:fldChar w:fldCharType="separate"/>
      </w:r>
      <w:r w:rsidR="00D040BE" w:rsidRPr="00891464">
        <w:rPr>
          <w:noProof/>
        </w:rPr>
        <w:t>1.</w:t>
      </w:r>
      <w:r w:rsidR="00D040BE" w:rsidRPr="00891464">
        <w:rPr>
          <w:rFonts w:ascii="Times New Roman" w:hAnsi="Times New Roman"/>
          <w:b w:val="0"/>
          <w:noProof/>
          <w:sz w:val="24"/>
          <w:szCs w:val="24"/>
        </w:rPr>
        <w:tab/>
      </w:r>
      <w:r w:rsidR="00D040BE" w:rsidRPr="00891464">
        <w:rPr>
          <w:noProof/>
        </w:rPr>
        <w:t>Evaluation</w:t>
      </w:r>
      <w:r w:rsidR="00D040BE" w:rsidRPr="00891464">
        <w:rPr>
          <w:noProof/>
        </w:rPr>
        <w:tab/>
      </w:r>
      <w:r w:rsidR="00035642" w:rsidRPr="00891464">
        <w:rPr>
          <w:noProof/>
        </w:rPr>
        <w:t>3-</w:t>
      </w:r>
      <w:r w:rsidRPr="00891464">
        <w:rPr>
          <w:noProof/>
        </w:rPr>
        <w:fldChar w:fldCharType="begin"/>
      </w:r>
      <w:r w:rsidR="00D040BE" w:rsidRPr="00891464">
        <w:rPr>
          <w:noProof/>
        </w:rPr>
        <w:instrText xml:space="preserve"> PAGEREF _Toc103401411 \h </w:instrText>
      </w:r>
      <w:r w:rsidRPr="00891464">
        <w:rPr>
          <w:noProof/>
        </w:rPr>
      </w:r>
      <w:r w:rsidRPr="00891464">
        <w:rPr>
          <w:noProof/>
        </w:rPr>
        <w:fldChar w:fldCharType="separate"/>
      </w:r>
      <w:r w:rsidR="005E643D" w:rsidRPr="00891464">
        <w:rPr>
          <w:noProof/>
        </w:rPr>
        <w:t>2</w:t>
      </w:r>
      <w:r w:rsidRPr="00891464">
        <w:rPr>
          <w:noProof/>
        </w:rPr>
        <w:fldChar w:fldCharType="end"/>
      </w:r>
    </w:p>
    <w:p w:rsidR="00D040BE" w:rsidRPr="00891464" w:rsidRDefault="00D040BE" w:rsidP="00B868F2">
      <w:pPr>
        <w:pStyle w:val="TOC1"/>
        <w:tabs>
          <w:tab w:val="left" w:pos="450"/>
          <w:tab w:val="right" w:leader="dot" w:pos="9638"/>
        </w:tabs>
        <w:ind w:left="450"/>
        <w:rPr>
          <w:rFonts w:ascii="Times New Roman" w:hAnsi="Times New Roman"/>
          <w:b w:val="0"/>
          <w:noProof/>
          <w:sz w:val="24"/>
          <w:szCs w:val="24"/>
        </w:rPr>
      </w:pPr>
      <w:r w:rsidRPr="00891464">
        <w:rPr>
          <w:noProof/>
        </w:rPr>
        <w:t>1.1Adequacy of Technical Proposal</w:t>
      </w:r>
      <w:r w:rsidRPr="00891464">
        <w:rPr>
          <w:noProof/>
        </w:rPr>
        <w:tab/>
      </w:r>
      <w:r w:rsidR="00035642" w:rsidRPr="00891464">
        <w:rPr>
          <w:noProof/>
        </w:rPr>
        <w:t>3-</w:t>
      </w:r>
      <w:r w:rsidR="00F61857" w:rsidRPr="00891464">
        <w:rPr>
          <w:noProof/>
        </w:rPr>
        <w:fldChar w:fldCharType="begin"/>
      </w:r>
      <w:r w:rsidRPr="00891464">
        <w:rPr>
          <w:noProof/>
        </w:rPr>
        <w:instrText xml:space="preserve"> PAGEREF _Toc103401412 \h </w:instrText>
      </w:r>
      <w:r w:rsidR="00F61857" w:rsidRPr="00891464">
        <w:rPr>
          <w:noProof/>
        </w:rPr>
      </w:r>
      <w:r w:rsidR="00F61857" w:rsidRPr="00891464">
        <w:rPr>
          <w:noProof/>
        </w:rPr>
        <w:fldChar w:fldCharType="separate"/>
      </w:r>
      <w:r w:rsidR="005E643D" w:rsidRPr="00891464">
        <w:rPr>
          <w:noProof/>
        </w:rPr>
        <w:t>2</w:t>
      </w:r>
      <w:r w:rsidR="00F61857" w:rsidRPr="00891464">
        <w:rPr>
          <w:noProof/>
        </w:rPr>
        <w:fldChar w:fldCharType="end"/>
      </w:r>
    </w:p>
    <w:p w:rsidR="00D040BE" w:rsidRPr="00891464" w:rsidRDefault="00D040BE" w:rsidP="00B868F2">
      <w:pPr>
        <w:pStyle w:val="TOC1"/>
        <w:tabs>
          <w:tab w:val="left" w:pos="450"/>
          <w:tab w:val="right" w:leader="dot" w:pos="9638"/>
        </w:tabs>
        <w:ind w:left="450"/>
        <w:rPr>
          <w:rFonts w:ascii="Times New Roman" w:hAnsi="Times New Roman"/>
          <w:b w:val="0"/>
          <w:noProof/>
          <w:sz w:val="24"/>
          <w:szCs w:val="24"/>
        </w:rPr>
      </w:pPr>
      <w:r w:rsidRPr="00891464">
        <w:rPr>
          <w:noProof/>
        </w:rPr>
        <w:t>1.2</w:t>
      </w:r>
      <w:r w:rsidR="00F67CCC" w:rsidRPr="00891464">
        <w:rPr>
          <w:noProof/>
        </w:rPr>
        <w:t>Completion Time</w:t>
      </w:r>
      <w:r w:rsidRPr="00891464">
        <w:rPr>
          <w:noProof/>
        </w:rPr>
        <w:tab/>
      </w:r>
      <w:r w:rsidR="00035642" w:rsidRPr="00891464">
        <w:rPr>
          <w:noProof/>
        </w:rPr>
        <w:t>3-</w:t>
      </w:r>
      <w:r w:rsidR="00F61857" w:rsidRPr="00891464">
        <w:rPr>
          <w:noProof/>
        </w:rPr>
        <w:fldChar w:fldCharType="begin"/>
      </w:r>
      <w:r w:rsidRPr="00891464">
        <w:rPr>
          <w:noProof/>
        </w:rPr>
        <w:instrText xml:space="preserve"> PAGEREF _Toc103401414 \h </w:instrText>
      </w:r>
      <w:r w:rsidR="00F61857" w:rsidRPr="00891464">
        <w:rPr>
          <w:noProof/>
        </w:rPr>
      </w:r>
      <w:r w:rsidR="00F61857" w:rsidRPr="00891464">
        <w:rPr>
          <w:noProof/>
        </w:rPr>
        <w:fldChar w:fldCharType="separate"/>
      </w:r>
      <w:r w:rsidR="005E643D" w:rsidRPr="00891464">
        <w:rPr>
          <w:noProof/>
        </w:rPr>
        <w:t>2</w:t>
      </w:r>
      <w:r w:rsidR="00F61857" w:rsidRPr="00891464">
        <w:rPr>
          <w:noProof/>
        </w:rPr>
        <w:fldChar w:fldCharType="end"/>
      </w:r>
    </w:p>
    <w:p w:rsidR="00D040BE" w:rsidRPr="00891464" w:rsidRDefault="00D040BE" w:rsidP="00B868F2">
      <w:pPr>
        <w:pStyle w:val="TOC1"/>
        <w:tabs>
          <w:tab w:val="left" w:pos="450"/>
          <w:tab w:val="right" w:leader="dot" w:pos="9638"/>
        </w:tabs>
        <w:ind w:left="450"/>
        <w:rPr>
          <w:rFonts w:ascii="Times New Roman" w:hAnsi="Times New Roman"/>
          <w:b w:val="0"/>
          <w:noProof/>
          <w:sz w:val="24"/>
          <w:szCs w:val="24"/>
        </w:rPr>
      </w:pPr>
      <w:r w:rsidRPr="00891464">
        <w:rPr>
          <w:noProof/>
        </w:rPr>
        <w:t>1.3</w:t>
      </w:r>
      <w:r w:rsidR="00F67CCC" w:rsidRPr="00891464">
        <w:rPr>
          <w:noProof/>
        </w:rPr>
        <w:t>Technical Alternatives</w:t>
      </w:r>
      <w:r w:rsidRPr="00891464">
        <w:rPr>
          <w:noProof/>
        </w:rPr>
        <w:tab/>
      </w:r>
      <w:r w:rsidR="00035642" w:rsidRPr="00891464">
        <w:rPr>
          <w:noProof/>
        </w:rPr>
        <w:t>3-</w:t>
      </w:r>
      <w:r w:rsidR="00F61857" w:rsidRPr="00891464">
        <w:rPr>
          <w:noProof/>
        </w:rPr>
        <w:fldChar w:fldCharType="begin"/>
      </w:r>
      <w:r w:rsidRPr="00891464">
        <w:rPr>
          <w:noProof/>
        </w:rPr>
        <w:instrText xml:space="preserve"> PAGEREF _Toc103401416 \h </w:instrText>
      </w:r>
      <w:r w:rsidR="00F61857" w:rsidRPr="00891464">
        <w:rPr>
          <w:noProof/>
        </w:rPr>
      </w:r>
      <w:r w:rsidR="00F61857" w:rsidRPr="00891464">
        <w:rPr>
          <w:noProof/>
        </w:rPr>
        <w:fldChar w:fldCharType="separate"/>
      </w:r>
      <w:r w:rsidR="005E643D" w:rsidRPr="00891464">
        <w:rPr>
          <w:noProof/>
        </w:rPr>
        <w:t>2</w:t>
      </w:r>
      <w:r w:rsidR="00F61857" w:rsidRPr="00891464">
        <w:rPr>
          <w:noProof/>
        </w:rPr>
        <w:fldChar w:fldCharType="end"/>
      </w:r>
    </w:p>
    <w:p w:rsidR="00D040BE" w:rsidRPr="00891464" w:rsidRDefault="00D040BE" w:rsidP="00B868F2">
      <w:pPr>
        <w:pStyle w:val="TOC1"/>
        <w:tabs>
          <w:tab w:val="left" w:pos="450"/>
          <w:tab w:val="right" w:leader="dot" w:pos="9638"/>
        </w:tabs>
        <w:ind w:left="450"/>
        <w:rPr>
          <w:rFonts w:ascii="Times New Roman" w:hAnsi="Times New Roman"/>
          <w:b w:val="0"/>
          <w:noProof/>
          <w:sz w:val="24"/>
          <w:szCs w:val="24"/>
        </w:rPr>
      </w:pPr>
      <w:r w:rsidRPr="00891464">
        <w:rPr>
          <w:noProof/>
        </w:rPr>
        <w:t>1.4</w:t>
      </w:r>
      <w:r w:rsidR="00F67CCC" w:rsidRPr="00891464">
        <w:rPr>
          <w:bCs/>
          <w:noProof/>
          <w:lang w:val="fr-FR"/>
        </w:rPr>
        <w:t>Quantifiable Nonconformities and Omissions</w:t>
      </w:r>
      <w:r w:rsidRPr="00891464">
        <w:rPr>
          <w:noProof/>
        </w:rPr>
        <w:tab/>
      </w:r>
      <w:r w:rsidR="00035642" w:rsidRPr="00891464">
        <w:rPr>
          <w:noProof/>
        </w:rPr>
        <w:t>3-</w:t>
      </w:r>
      <w:r w:rsidR="00F61857" w:rsidRPr="00891464">
        <w:rPr>
          <w:noProof/>
        </w:rPr>
        <w:fldChar w:fldCharType="begin"/>
      </w:r>
      <w:r w:rsidRPr="00891464">
        <w:rPr>
          <w:noProof/>
        </w:rPr>
        <w:instrText xml:space="preserve"> PAGEREF _Toc103401418 \h </w:instrText>
      </w:r>
      <w:r w:rsidR="00F61857" w:rsidRPr="00891464">
        <w:rPr>
          <w:noProof/>
        </w:rPr>
      </w:r>
      <w:r w:rsidR="00F61857" w:rsidRPr="00891464">
        <w:rPr>
          <w:noProof/>
        </w:rPr>
        <w:fldChar w:fldCharType="separate"/>
      </w:r>
      <w:r w:rsidR="005E643D" w:rsidRPr="00891464">
        <w:rPr>
          <w:noProof/>
        </w:rPr>
        <w:t>2</w:t>
      </w:r>
      <w:r w:rsidR="00F61857" w:rsidRPr="00891464">
        <w:rPr>
          <w:noProof/>
        </w:rPr>
        <w:fldChar w:fldCharType="end"/>
      </w:r>
    </w:p>
    <w:p w:rsidR="00D040BE" w:rsidRPr="00891464" w:rsidRDefault="00D040BE" w:rsidP="00B868F2">
      <w:pPr>
        <w:pStyle w:val="TOC1"/>
        <w:tabs>
          <w:tab w:val="left" w:pos="450"/>
          <w:tab w:val="right" w:leader="dot" w:pos="9638"/>
        </w:tabs>
        <w:ind w:left="450"/>
        <w:rPr>
          <w:noProof/>
        </w:rPr>
      </w:pPr>
      <w:r w:rsidRPr="00891464">
        <w:rPr>
          <w:noProof/>
        </w:rPr>
        <w:t>1.5</w:t>
      </w:r>
      <w:r w:rsidR="00F67CCC" w:rsidRPr="00891464">
        <w:rPr>
          <w:noProof/>
        </w:rPr>
        <w:t>Margin of Preference</w:t>
      </w:r>
      <w:r w:rsidRPr="00891464">
        <w:rPr>
          <w:noProof/>
        </w:rPr>
        <w:tab/>
      </w:r>
      <w:r w:rsidR="00035642" w:rsidRPr="00891464">
        <w:rPr>
          <w:noProof/>
        </w:rPr>
        <w:t>3-</w:t>
      </w:r>
      <w:r w:rsidR="00F61857" w:rsidRPr="00891464">
        <w:rPr>
          <w:noProof/>
        </w:rPr>
        <w:fldChar w:fldCharType="begin"/>
      </w:r>
      <w:r w:rsidRPr="00891464">
        <w:rPr>
          <w:noProof/>
        </w:rPr>
        <w:instrText xml:space="preserve"> PAGEREF _Toc103401420 \h </w:instrText>
      </w:r>
      <w:r w:rsidR="00F61857" w:rsidRPr="00891464">
        <w:rPr>
          <w:noProof/>
        </w:rPr>
      </w:r>
      <w:r w:rsidR="00F61857" w:rsidRPr="00891464">
        <w:rPr>
          <w:noProof/>
        </w:rPr>
        <w:fldChar w:fldCharType="separate"/>
      </w:r>
      <w:r w:rsidR="005E643D" w:rsidRPr="00891464">
        <w:rPr>
          <w:noProof/>
        </w:rPr>
        <w:t>2</w:t>
      </w:r>
      <w:r w:rsidR="00F61857" w:rsidRPr="00891464">
        <w:rPr>
          <w:noProof/>
        </w:rPr>
        <w:fldChar w:fldCharType="end"/>
      </w:r>
    </w:p>
    <w:p w:rsidR="00B9631A" w:rsidRPr="00891464" w:rsidRDefault="00B9631A" w:rsidP="00B868F2">
      <w:pPr>
        <w:pStyle w:val="TOC1"/>
        <w:tabs>
          <w:tab w:val="left" w:pos="450"/>
          <w:tab w:val="right" w:leader="dot" w:pos="9638"/>
        </w:tabs>
        <w:ind w:left="450"/>
        <w:rPr>
          <w:noProof/>
          <w:lang w:val="fr-FR"/>
        </w:rPr>
      </w:pPr>
      <w:r w:rsidRPr="00891464">
        <w:rPr>
          <w:noProof/>
          <w:lang w:val="fr-FR"/>
        </w:rPr>
        <w:t>1.6</w:t>
      </w:r>
      <w:r w:rsidR="00F67CCC" w:rsidRPr="00891464">
        <w:rPr>
          <w:noProof/>
        </w:rPr>
        <w:t>Multiple Contracts</w:t>
      </w:r>
      <w:r w:rsidRPr="00891464">
        <w:rPr>
          <w:noProof/>
          <w:lang w:val="fr-FR"/>
        </w:rPr>
        <w:tab/>
        <w:t>3-</w:t>
      </w:r>
      <w:r w:rsidR="00487C5B" w:rsidRPr="00891464">
        <w:rPr>
          <w:noProof/>
          <w:lang w:val="fr-FR"/>
        </w:rPr>
        <w:t>3</w:t>
      </w:r>
    </w:p>
    <w:p w:rsidR="00D040BE" w:rsidRPr="00891464" w:rsidRDefault="00D040BE">
      <w:pPr>
        <w:pStyle w:val="TOC1"/>
        <w:tabs>
          <w:tab w:val="left" w:pos="480"/>
          <w:tab w:val="right" w:leader="dot" w:pos="9638"/>
        </w:tabs>
        <w:rPr>
          <w:rFonts w:ascii="Times New Roman" w:hAnsi="Times New Roman"/>
          <w:b w:val="0"/>
          <w:noProof/>
          <w:sz w:val="24"/>
          <w:szCs w:val="24"/>
          <w:lang w:val="fr-FR"/>
        </w:rPr>
      </w:pPr>
      <w:r w:rsidRPr="00891464">
        <w:rPr>
          <w:noProof/>
          <w:lang w:val="fr-FR"/>
        </w:rPr>
        <w:t>2.</w:t>
      </w:r>
      <w:r w:rsidRPr="00891464">
        <w:rPr>
          <w:rFonts w:ascii="Times New Roman" w:hAnsi="Times New Roman"/>
          <w:b w:val="0"/>
          <w:noProof/>
          <w:sz w:val="24"/>
          <w:szCs w:val="24"/>
          <w:lang w:val="fr-FR"/>
        </w:rPr>
        <w:tab/>
      </w:r>
      <w:r w:rsidRPr="00891464">
        <w:rPr>
          <w:noProof/>
          <w:lang w:val="fr-FR"/>
        </w:rPr>
        <w:t>Qualification</w:t>
      </w:r>
      <w:r w:rsidRPr="00891464">
        <w:rPr>
          <w:noProof/>
          <w:lang w:val="fr-FR"/>
        </w:rPr>
        <w:tab/>
      </w:r>
      <w:r w:rsidR="00035642" w:rsidRPr="00891464">
        <w:rPr>
          <w:noProof/>
          <w:lang w:val="fr-FR"/>
        </w:rPr>
        <w:t>3-</w:t>
      </w:r>
      <w:r w:rsidR="00382DDB" w:rsidRPr="00891464">
        <w:rPr>
          <w:noProof/>
          <w:lang w:val="fr-FR"/>
        </w:rPr>
        <w:t>4</w:t>
      </w:r>
    </w:p>
    <w:p w:rsidR="00D040BE" w:rsidRPr="00891464" w:rsidRDefault="00D040BE" w:rsidP="00B03E9E">
      <w:pPr>
        <w:pStyle w:val="TOC1"/>
        <w:tabs>
          <w:tab w:val="left" w:pos="450"/>
          <w:tab w:val="right" w:leader="dot" w:pos="9638"/>
        </w:tabs>
        <w:ind w:left="450"/>
        <w:rPr>
          <w:rFonts w:ascii="Times New Roman" w:hAnsi="Times New Roman"/>
          <w:b w:val="0"/>
          <w:noProof/>
          <w:sz w:val="24"/>
          <w:szCs w:val="24"/>
        </w:rPr>
      </w:pPr>
      <w:r w:rsidRPr="00891464">
        <w:rPr>
          <w:noProof/>
        </w:rPr>
        <w:t>2.1Eligibility</w:t>
      </w:r>
      <w:r w:rsidRPr="00891464">
        <w:rPr>
          <w:noProof/>
        </w:rPr>
        <w:tab/>
      </w:r>
      <w:r w:rsidR="00035642" w:rsidRPr="00891464">
        <w:rPr>
          <w:noProof/>
        </w:rPr>
        <w:t>3-</w:t>
      </w:r>
      <w:r w:rsidR="00382DDB" w:rsidRPr="00891464">
        <w:rPr>
          <w:noProof/>
        </w:rPr>
        <w:t>4</w:t>
      </w:r>
    </w:p>
    <w:p w:rsidR="00D040BE" w:rsidRPr="00891464" w:rsidRDefault="00D040BE" w:rsidP="00B03E9E">
      <w:pPr>
        <w:pStyle w:val="TOC1"/>
        <w:tabs>
          <w:tab w:val="left" w:pos="450"/>
          <w:tab w:val="right" w:leader="dot" w:pos="9638"/>
        </w:tabs>
        <w:ind w:left="720"/>
        <w:rPr>
          <w:rFonts w:ascii="Times New Roman" w:hAnsi="Times New Roman"/>
          <w:b w:val="0"/>
          <w:noProof/>
          <w:sz w:val="24"/>
          <w:szCs w:val="24"/>
        </w:rPr>
      </w:pPr>
      <w:r w:rsidRPr="00891464">
        <w:rPr>
          <w:b w:val="0"/>
          <w:noProof/>
        </w:rPr>
        <w:t>2.1.1 Nationality</w:t>
      </w:r>
      <w:r w:rsidRPr="00891464">
        <w:rPr>
          <w:b w:val="0"/>
          <w:noProof/>
        </w:rPr>
        <w:tab/>
      </w:r>
      <w:r w:rsidR="00035642" w:rsidRPr="00891464">
        <w:rPr>
          <w:b w:val="0"/>
          <w:noProof/>
        </w:rPr>
        <w:t>3-</w:t>
      </w:r>
      <w:r w:rsidR="00382DDB" w:rsidRPr="00891464">
        <w:rPr>
          <w:b w:val="0"/>
          <w:noProof/>
        </w:rPr>
        <w:t>4</w:t>
      </w:r>
    </w:p>
    <w:p w:rsidR="00D040BE" w:rsidRPr="00891464" w:rsidRDefault="00D040BE" w:rsidP="00B03E9E">
      <w:pPr>
        <w:pStyle w:val="TOC1"/>
        <w:tabs>
          <w:tab w:val="left" w:pos="450"/>
          <w:tab w:val="right" w:leader="dot" w:pos="9638"/>
        </w:tabs>
        <w:ind w:left="720"/>
        <w:rPr>
          <w:rFonts w:ascii="Times New Roman" w:hAnsi="Times New Roman"/>
          <w:b w:val="0"/>
          <w:noProof/>
          <w:sz w:val="24"/>
          <w:szCs w:val="24"/>
        </w:rPr>
      </w:pPr>
      <w:r w:rsidRPr="00891464">
        <w:rPr>
          <w:b w:val="0"/>
          <w:noProof/>
        </w:rPr>
        <w:t>2.1.2Conflict of Interest</w:t>
      </w:r>
      <w:r w:rsidRPr="00891464">
        <w:rPr>
          <w:b w:val="0"/>
          <w:noProof/>
        </w:rPr>
        <w:tab/>
      </w:r>
      <w:r w:rsidR="00035642" w:rsidRPr="00891464">
        <w:rPr>
          <w:b w:val="0"/>
          <w:noProof/>
        </w:rPr>
        <w:t>3-</w:t>
      </w:r>
      <w:r w:rsidR="00382DDB" w:rsidRPr="00891464">
        <w:rPr>
          <w:b w:val="0"/>
          <w:noProof/>
        </w:rPr>
        <w:t>4</w:t>
      </w:r>
    </w:p>
    <w:p w:rsidR="00D040BE" w:rsidRPr="00891464" w:rsidRDefault="00D040BE" w:rsidP="00B03E9E">
      <w:pPr>
        <w:pStyle w:val="TOC1"/>
        <w:tabs>
          <w:tab w:val="left" w:pos="450"/>
          <w:tab w:val="right" w:leader="dot" w:pos="9638"/>
        </w:tabs>
        <w:ind w:left="720"/>
        <w:rPr>
          <w:rFonts w:ascii="Times New Roman" w:hAnsi="Times New Roman"/>
          <w:b w:val="0"/>
          <w:noProof/>
          <w:sz w:val="24"/>
          <w:szCs w:val="24"/>
        </w:rPr>
      </w:pPr>
      <w:r w:rsidRPr="00891464">
        <w:rPr>
          <w:b w:val="0"/>
          <w:noProof/>
        </w:rPr>
        <w:t>2.1.3</w:t>
      </w:r>
      <w:r w:rsidR="00AA625B" w:rsidRPr="00891464">
        <w:rPr>
          <w:rFonts w:cs="Arial"/>
          <w:b w:val="0"/>
          <w:noProof/>
        </w:rPr>
        <w:t xml:space="preserve">ADB </w:t>
      </w:r>
      <w:r w:rsidRPr="00891464">
        <w:rPr>
          <w:b w:val="0"/>
          <w:noProof/>
        </w:rPr>
        <w:t>Eligibility</w:t>
      </w:r>
      <w:r w:rsidRPr="00891464">
        <w:rPr>
          <w:b w:val="0"/>
          <w:noProof/>
        </w:rPr>
        <w:tab/>
      </w:r>
      <w:r w:rsidR="00035642" w:rsidRPr="00891464">
        <w:rPr>
          <w:b w:val="0"/>
          <w:noProof/>
        </w:rPr>
        <w:t>3-</w:t>
      </w:r>
      <w:r w:rsidR="00382DDB" w:rsidRPr="00891464">
        <w:rPr>
          <w:b w:val="0"/>
          <w:noProof/>
        </w:rPr>
        <w:t>4</w:t>
      </w:r>
    </w:p>
    <w:p w:rsidR="00984A89" w:rsidRPr="00891464" w:rsidRDefault="00D040BE" w:rsidP="00B03E9E">
      <w:pPr>
        <w:pStyle w:val="TOC1"/>
        <w:tabs>
          <w:tab w:val="left" w:pos="450"/>
          <w:tab w:val="right" w:leader="dot" w:pos="9638"/>
        </w:tabs>
        <w:ind w:left="720"/>
        <w:rPr>
          <w:b w:val="0"/>
          <w:noProof/>
        </w:rPr>
      </w:pPr>
      <w:r w:rsidRPr="00891464">
        <w:rPr>
          <w:b w:val="0"/>
          <w:noProof/>
        </w:rPr>
        <w:t>2.1.4Government-</w:t>
      </w:r>
      <w:r w:rsidR="00AA625B" w:rsidRPr="00891464">
        <w:rPr>
          <w:b w:val="0"/>
          <w:noProof/>
        </w:rPr>
        <w:t>O</w:t>
      </w:r>
      <w:r w:rsidRPr="00891464">
        <w:rPr>
          <w:b w:val="0"/>
          <w:noProof/>
        </w:rPr>
        <w:t xml:space="preserve">wned </w:t>
      </w:r>
      <w:r w:rsidR="00143DCF" w:rsidRPr="00891464">
        <w:rPr>
          <w:b w:val="0"/>
          <w:noProof/>
        </w:rPr>
        <w:t>Enterprise</w:t>
      </w:r>
      <w:r w:rsidRPr="00891464">
        <w:rPr>
          <w:b w:val="0"/>
          <w:noProof/>
        </w:rPr>
        <w:tab/>
      </w:r>
      <w:r w:rsidR="00035642" w:rsidRPr="00891464">
        <w:rPr>
          <w:b w:val="0"/>
          <w:noProof/>
        </w:rPr>
        <w:t>3-</w:t>
      </w:r>
      <w:r w:rsidR="00382DDB" w:rsidRPr="00891464">
        <w:rPr>
          <w:b w:val="0"/>
          <w:noProof/>
        </w:rPr>
        <w:t>4</w:t>
      </w:r>
    </w:p>
    <w:p w:rsidR="00D040BE" w:rsidRPr="00891464" w:rsidRDefault="00984A89" w:rsidP="00B03E9E">
      <w:pPr>
        <w:pStyle w:val="TOC1"/>
        <w:tabs>
          <w:tab w:val="left" w:pos="450"/>
          <w:tab w:val="right" w:leader="dot" w:pos="9638"/>
        </w:tabs>
        <w:ind w:left="720"/>
        <w:rPr>
          <w:rFonts w:ascii="Times New Roman" w:hAnsi="Times New Roman"/>
          <w:b w:val="0"/>
          <w:noProof/>
          <w:sz w:val="24"/>
          <w:szCs w:val="24"/>
        </w:rPr>
      </w:pPr>
      <w:r w:rsidRPr="00891464">
        <w:rPr>
          <w:b w:val="0"/>
          <w:noProof/>
        </w:rPr>
        <w:t>2.1.5U</w:t>
      </w:r>
      <w:r w:rsidR="00AA625B" w:rsidRPr="00891464">
        <w:rPr>
          <w:b w:val="0"/>
          <w:noProof/>
        </w:rPr>
        <w:t xml:space="preserve">nited </w:t>
      </w:r>
      <w:r w:rsidRPr="00891464">
        <w:rPr>
          <w:b w:val="0"/>
          <w:noProof/>
        </w:rPr>
        <w:t>N</w:t>
      </w:r>
      <w:r w:rsidR="00AA625B" w:rsidRPr="00891464">
        <w:rPr>
          <w:b w:val="0"/>
          <w:noProof/>
        </w:rPr>
        <w:t>ations</w:t>
      </w:r>
      <w:r w:rsidRPr="00891464">
        <w:rPr>
          <w:b w:val="0"/>
          <w:noProof/>
        </w:rPr>
        <w:t xml:space="preserve"> Eligibility</w:t>
      </w:r>
      <w:r w:rsidRPr="00891464">
        <w:rPr>
          <w:b w:val="0"/>
          <w:noProof/>
        </w:rPr>
        <w:tab/>
        <w:t>3-</w:t>
      </w:r>
      <w:r w:rsidR="00382DDB" w:rsidRPr="00891464">
        <w:rPr>
          <w:b w:val="0"/>
          <w:noProof/>
        </w:rPr>
        <w:t>4</w:t>
      </w:r>
    </w:p>
    <w:p w:rsidR="00D040BE" w:rsidRPr="00891464" w:rsidRDefault="00D040BE" w:rsidP="00B03E9E">
      <w:pPr>
        <w:pStyle w:val="TOC1"/>
        <w:tabs>
          <w:tab w:val="left" w:pos="450"/>
          <w:tab w:val="right" w:leader="dot" w:pos="9638"/>
        </w:tabs>
        <w:ind w:left="450"/>
        <w:rPr>
          <w:rFonts w:ascii="Times New Roman" w:hAnsi="Times New Roman"/>
          <w:b w:val="0"/>
          <w:noProof/>
          <w:sz w:val="24"/>
          <w:szCs w:val="24"/>
        </w:rPr>
      </w:pPr>
      <w:r w:rsidRPr="00891464">
        <w:rPr>
          <w:noProof/>
        </w:rPr>
        <w:t>2.2Pending Litigation</w:t>
      </w:r>
      <w:r w:rsidR="00143DCF" w:rsidRPr="00891464">
        <w:rPr>
          <w:noProof/>
        </w:rPr>
        <w:t xml:space="preserve"> and Arbitration</w:t>
      </w:r>
      <w:r w:rsidRPr="00891464">
        <w:rPr>
          <w:noProof/>
        </w:rPr>
        <w:tab/>
      </w:r>
      <w:r w:rsidR="00035642" w:rsidRPr="00891464">
        <w:rPr>
          <w:noProof/>
        </w:rPr>
        <w:t>3-</w:t>
      </w:r>
      <w:r w:rsidR="00382DDB" w:rsidRPr="00891464">
        <w:rPr>
          <w:noProof/>
        </w:rPr>
        <w:t>5</w:t>
      </w:r>
    </w:p>
    <w:p w:rsidR="00D040BE" w:rsidRPr="00891464" w:rsidRDefault="00D040BE" w:rsidP="00B03E9E">
      <w:pPr>
        <w:pStyle w:val="TOC1"/>
        <w:tabs>
          <w:tab w:val="left" w:pos="450"/>
          <w:tab w:val="right" w:leader="dot" w:pos="9638"/>
        </w:tabs>
        <w:ind w:left="720"/>
        <w:rPr>
          <w:rFonts w:ascii="Times New Roman" w:hAnsi="Times New Roman"/>
          <w:b w:val="0"/>
          <w:noProof/>
          <w:sz w:val="24"/>
          <w:szCs w:val="24"/>
        </w:rPr>
      </w:pPr>
      <w:r w:rsidRPr="00891464">
        <w:rPr>
          <w:b w:val="0"/>
          <w:noProof/>
        </w:rPr>
        <w:t>2.2.1 Pending Litigation</w:t>
      </w:r>
      <w:r w:rsidR="000446BC" w:rsidRPr="00891464">
        <w:rPr>
          <w:b w:val="0"/>
          <w:noProof/>
        </w:rPr>
        <w:t xml:space="preserve"> and Arbitration</w:t>
      </w:r>
      <w:r w:rsidRPr="00891464">
        <w:rPr>
          <w:b w:val="0"/>
          <w:noProof/>
        </w:rPr>
        <w:tab/>
      </w:r>
      <w:r w:rsidR="00035642" w:rsidRPr="00891464">
        <w:rPr>
          <w:b w:val="0"/>
          <w:noProof/>
        </w:rPr>
        <w:t>3-</w:t>
      </w:r>
      <w:r w:rsidR="00382DDB" w:rsidRPr="00891464">
        <w:rPr>
          <w:b w:val="0"/>
          <w:noProof/>
        </w:rPr>
        <w:t>5</w:t>
      </w:r>
    </w:p>
    <w:p w:rsidR="00D040BE" w:rsidRPr="00891464" w:rsidRDefault="00D040BE" w:rsidP="00B03E9E">
      <w:pPr>
        <w:pStyle w:val="TOC1"/>
        <w:tabs>
          <w:tab w:val="left" w:pos="450"/>
          <w:tab w:val="right" w:leader="dot" w:pos="9638"/>
        </w:tabs>
        <w:ind w:left="450"/>
        <w:rPr>
          <w:rFonts w:ascii="Times New Roman" w:hAnsi="Times New Roman"/>
          <w:b w:val="0"/>
          <w:noProof/>
          <w:sz w:val="24"/>
          <w:szCs w:val="24"/>
        </w:rPr>
      </w:pPr>
      <w:r w:rsidRPr="00891464">
        <w:rPr>
          <w:noProof/>
        </w:rPr>
        <w:t xml:space="preserve">2.3 Financial </w:t>
      </w:r>
      <w:r w:rsidR="00143DCF" w:rsidRPr="00891464">
        <w:rPr>
          <w:noProof/>
        </w:rPr>
        <w:t>Situation</w:t>
      </w:r>
      <w:r w:rsidRPr="00891464">
        <w:rPr>
          <w:noProof/>
        </w:rPr>
        <w:tab/>
      </w:r>
      <w:r w:rsidR="00035642" w:rsidRPr="00891464">
        <w:rPr>
          <w:noProof/>
        </w:rPr>
        <w:t>3-</w:t>
      </w:r>
      <w:r w:rsidR="00F53132" w:rsidRPr="00891464">
        <w:rPr>
          <w:noProof/>
        </w:rPr>
        <w:t>6</w:t>
      </w:r>
    </w:p>
    <w:p w:rsidR="00D040BE" w:rsidRPr="00891464" w:rsidRDefault="00D040BE" w:rsidP="00B03E9E">
      <w:pPr>
        <w:pStyle w:val="TOC1"/>
        <w:tabs>
          <w:tab w:val="left" w:pos="450"/>
          <w:tab w:val="right" w:leader="dot" w:pos="9638"/>
        </w:tabs>
        <w:ind w:left="720"/>
        <w:rPr>
          <w:b w:val="0"/>
          <w:noProof/>
        </w:rPr>
      </w:pPr>
      <w:r w:rsidRPr="00891464">
        <w:rPr>
          <w:b w:val="0"/>
          <w:noProof/>
        </w:rPr>
        <w:t>2.3.1Historical Financial Performance</w:t>
      </w:r>
      <w:r w:rsidRPr="00891464">
        <w:rPr>
          <w:b w:val="0"/>
          <w:noProof/>
        </w:rPr>
        <w:tab/>
      </w:r>
      <w:r w:rsidR="00035642" w:rsidRPr="00891464">
        <w:rPr>
          <w:b w:val="0"/>
          <w:noProof/>
        </w:rPr>
        <w:t>3-</w:t>
      </w:r>
      <w:r w:rsidR="00F53132" w:rsidRPr="00891464">
        <w:rPr>
          <w:b w:val="0"/>
          <w:noProof/>
        </w:rPr>
        <w:t>6</w:t>
      </w:r>
    </w:p>
    <w:p w:rsidR="00D040BE" w:rsidRPr="00891464" w:rsidRDefault="00D040BE" w:rsidP="00B03E9E">
      <w:pPr>
        <w:pStyle w:val="TOC1"/>
        <w:tabs>
          <w:tab w:val="left" w:pos="450"/>
          <w:tab w:val="right" w:leader="dot" w:pos="9638"/>
        </w:tabs>
        <w:ind w:left="720"/>
        <w:rPr>
          <w:b w:val="0"/>
          <w:noProof/>
        </w:rPr>
      </w:pPr>
      <w:r w:rsidRPr="00891464">
        <w:rPr>
          <w:b w:val="0"/>
          <w:noProof/>
        </w:rPr>
        <w:t>2.3.2Average Annual Construction Turnover</w:t>
      </w:r>
      <w:r w:rsidRPr="00891464">
        <w:rPr>
          <w:b w:val="0"/>
          <w:noProof/>
        </w:rPr>
        <w:tab/>
      </w:r>
      <w:r w:rsidR="00035642" w:rsidRPr="00891464">
        <w:rPr>
          <w:b w:val="0"/>
          <w:noProof/>
        </w:rPr>
        <w:t>3-</w:t>
      </w:r>
      <w:r w:rsidR="00F53132" w:rsidRPr="00891464">
        <w:rPr>
          <w:b w:val="0"/>
          <w:noProof/>
        </w:rPr>
        <w:t>6</w:t>
      </w:r>
    </w:p>
    <w:p w:rsidR="00A2156A" w:rsidRPr="00891464" w:rsidRDefault="00A2156A" w:rsidP="00B03E9E">
      <w:pPr>
        <w:pStyle w:val="TOC1"/>
        <w:tabs>
          <w:tab w:val="left" w:pos="450"/>
          <w:tab w:val="right" w:leader="dot" w:pos="9638"/>
        </w:tabs>
        <w:ind w:left="720"/>
        <w:rPr>
          <w:rFonts w:ascii="Times New Roman" w:hAnsi="Times New Roman"/>
          <w:b w:val="0"/>
          <w:noProof/>
          <w:sz w:val="24"/>
          <w:szCs w:val="24"/>
        </w:rPr>
      </w:pPr>
      <w:r w:rsidRPr="00891464">
        <w:rPr>
          <w:b w:val="0"/>
          <w:noProof/>
        </w:rPr>
        <w:t>2.3.3Financial Resources</w:t>
      </w:r>
      <w:r w:rsidRPr="00891464">
        <w:rPr>
          <w:b w:val="0"/>
          <w:noProof/>
        </w:rPr>
        <w:tab/>
        <w:t>3-</w:t>
      </w:r>
      <w:r w:rsidR="00F53132" w:rsidRPr="00891464">
        <w:rPr>
          <w:b w:val="0"/>
          <w:noProof/>
        </w:rPr>
        <w:t>7</w:t>
      </w:r>
    </w:p>
    <w:p w:rsidR="00D040BE" w:rsidRPr="00891464" w:rsidRDefault="00D040BE" w:rsidP="00B03E9E">
      <w:pPr>
        <w:pStyle w:val="TOC1"/>
        <w:tabs>
          <w:tab w:val="left" w:pos="450"/>
          <w:tab w:val="right" w:leader="dot" w:pos="9638"/>
        </w:tabs>
        <w:ind w:left="450"/>
        <w:rPr>
          <w:rFonts w:ascii="Times New Roman" w:hAnsi="Times New Roman"/>
          <w:b w:val="0"/>
          <w:noProof/>
          <w:sz w:val="24"/>
          <w:szCs w:val="24"/>
        </w:rPr>
      </w:pPr>
      <w:r w:rsidRPr="00891464">
        <w:rPr>
          <w:noProof/>
        </w:rPr>
        <w:t>2.4</w:t>
      </w:r>
      <w:r w:rsidR="00F74F49" w:rsidRPr="00891464">
        <w:rPr>
          <w:rFonts w:cs="Arial"/>
          <w:noProof/>
        </w:rPr>
        <w:t xml:space="preserve">Construction </w:t>
      </w:r>
      <w:r w:rsidRPr="00891464">
        <w:rPr>
          <w:noProof/>
        </w:rPr>
        <w:t>Experience</w:t>
      </w:r>
      <w:r w:rsidRPr="00891464">
        <w:rPr>
          <w:noProof/>
        </w:rPr>
        <w:tab/>
      </w:r>
      <w:r w:rsidR="00035642" w:rsidRPr="00891464">
        <w:rPr>
          <w:noProof/>
        </w:rPr>
        <w:t>3-</w:t>
      </w:r>
      <w:r w:rsidR="00F53132" w:rsidRPr="00891464">
        <w:rPr>
          <w:noProof/>
        </w:rPr>
        <w:t>8</w:t>
      </w:r>
    </w:p>
    <w:p w:rsidR="00D040BE" w:rsidRPr="00891464" w:rsidRDefault="00D040BE" w:rsidP="00B03E9E">
      <w:pPr>
        <w:pStyle w:val="TOC1"/>
        <w:tabs>
          <w:tab w:val="left" w:pos="450"/>
          <w:tab w:val="right" w:leader="dot" w:pos="9638"/>
        </w:tabs>
        <w:ind w:left="720"/>
        <w:rPr>
          <w:b w:val="0"/>
          <w:noProof/>
        </w:rPr>
      </w:pPr>
      <w:r w:rsidRPr="00891464">
        <w:rPr>
          <w:b w:val="0"/>
          <w:noProof/>
        </w:rPr>
        <w:t>2.4.1</w:t>
      </w:r>
      <w:r w:rsidR="00BC51AB" w:rsidRPr="00891464">
        <w:rPr>
          <w:b w:val="0"/>
          <w:noProof/>
        </w:rPr>
        <w:t>Contracts of Similar Size and Nature</w:t>
      </w:r>
      <w:r w:rsidRPr="00891464">
        <w:rPr>
          <w:b w:val="0"/>
          <w:noProof/>
        </w:rPr>
        <w:tab/>
      </w:r>
      <w:r w:rsidR="00035642" w:rsidRPr="00891464">
        <w:rPr>
          <w:b w:val="0"/>
          <w:noProof/>
        </w:rPr>
        <w:t>3-</w:t>
      </w:r>
      <w:r w:rsidR="00F53132" w:rsidRPr="00891464">
        <w:rPr>
          <w:b w:val="0"/>
          <w:noProof/>
        </w:rPr>
        <w:t>8</w:t>
      </w:r>
    </w:p>
    <w:p w:rsidR="00D040BE" w:rsidRPr="00891464" w:rsidRDefault="00D040BE" w:rsidP="00B03E9E">
      <w:pPr>
        <w:pStyle w:val="TOC1"/>
        <w:tabs>
          <w:tab w:val="left" w:pos="450"/>
          <w:tab w:val="right" w:leader="dot" w:pos="9638"/>
        </w:tabs>
        <w:ind w:left="720"/>
        <w:rPr>
          <w:rFonts w:ascii="Times New Roman" w:hAnsi="Times New Roman"/>
          <w:b w:val="0"/>
          <w:noProof/>
          <w:sz w:val="24"/>
          <w:szCs w:val="24"/>
        </w:rPr>
      </w:pPr>
      <w:r w:rsidRPr="00891464">
        <w:rPr>
          <w:b w:val="0"/>
          <w:noProof/>
        </w:rPr>
        <w:t>2.4.2Construction Experience</w:t>
      </w:r>
      <w:r w:rsidR="00BC51AB" w:rsidRPr="00891464">
        <w:rPr>
          <w:b w:val="0"/>
          <w:noProof/>
        </w:rPr>
        <w:t xml:space="preserve"> in Key Activities</w:t>
      </w:r>
      <w:r w:rsidRPr="00891464">
        <w:rPr>
          <w:b w:val="0"/>
          <w:noProof/>
        </w:rPr>
        <w:tab/>
      </w:r>
      <w:r w:rsidR="00035642" w:rsidRPr="00891464">
        <w:rPr>
          <w:b w:val="0"/>
          <w:noProof/>
        </w:rPr>
        <w:t>3-</w:t>
      </w:r>
      <w:r w:rsidR="00F53132" w:rsidRPr="00891464">
        <w:rPr>
          <w:b w:val="0"/>
          <w:noProof/>
        </w:rPr>
        <w:t>9</w:t>
      </w:r>
    </w:p>
    <w:p w:rsidR="00D040BE" w:rsidRPr="00891464" w:rsidRDefault="00D040BE" w:rsidP="005512C7">
      <w:pPr>
        <w:pStyle w:val="TOC1"/>
        <w:tabs>
          <w:tab w:val="left" w:pos="360"/>
          <w:tab w:val="right" w:leader="dot" w:pos="9638"/>
        </w:tabs>
        <w:ind w:left="360"/>
        <w:rPr>
          <w:rFonts w:ascii="Times New Roman" w:hAnsi="Times New Roman"/>
          <w:b w:val="0"/>
          <w:noProof/>
          <w:sz w:val="24"/>
          <w:szCs w:val="24"/>
        </w:rPr>
      </w:pPr>
    </w:p>
    <w:p w:rsidR="004051AC" w:rsidRPr="00891464" w:rsidRDefault="00F61857" w:rsidP="00E0746D">
      <w:pPr>
        <w:pStyle w:val="Heading1"/>
        <w:spacing w:before="0" w:after="0"/>
        <w:ind w:left="360" w:firstLine="360"/>
        <w:rPr>
          <w:b w:val="0"/>
          <w:iCs/>
          <w:sz w:val="20"/>
        </w:rPr>
      </w:pPr>
      <w:r w:rsidRPr="00891464">
        <w:rPr>
          <w:b w:val="0"/>
          <w:sz w:val="20"/>
        </w:rPr>
        <w:fldChar w:fldCharType="end"/>
      </w:r>
      <w:r w:rsidR="004051AC" w:rsidRPr="00891464">
        <w:rPr>
          <w:i/>
          <w:iCs/>
        </w:rPr>
        <w:br w:type="page"/>
      </w:r>
      <w:bookmarkStart w:id="4" w:name="_Toc103401411"/>
      <w:r w:rsidR="004051AC" w:rsidRPr="00891464">
        <w:rPr>
          <w:rFonts w:cs="Times New Roman"/>
          <w:bCs w:val="0"/>
          <w:noProof/>
          <w:kern w:val="0"/>
          <w:sz w:val="28"/>
          <w:szCs w:val="20"/>
        </w:rPr>
        <w:lastRenderedPageBreak/>
        <w:t>1.</w:t>
      </w:r>
      <w:r w:rsidR="004051AC" w:rsidRPr="00891464">
        <w:rPr>
          <w:rFonts w:cs="Times New Roman"/>
          <w:bCs w:val="0"/>
          <w:noProof/>
          <w:kern w:val="0"/>
          <w:sz w:val="28"/>
          <w:szCs w:val="20"/>
        </w:rPr>
        <w:tab/>
        <w:t>Evaluation</w:t>
      </w:r>
      <w:bookmarkEnd w:id="4"/>
    </w:p>
    <w:p w:rsidR="00874269" w:rsidRPr="00891464" w:rsidRDefault="00874269" w:rsidP="00874269">
      <w:pPr>
        <w:spacing w:before="120" w:after="120"/>
        <w:ind w:left="1080" w:right="288"/>
        <w:rPr>
          <w:rFonts w:ascii="Arial" w:hAnsi="Arial" w:cs="Arial"/>
          <w:sz w:val="20"/>
        </w:rPr>
      </w:pPr>
      <w:r w:rsidRPr="00891464">
        <w:rPr>
          <w:rFonts w:ascii="Arial" w:hAnsi="Arial" w:cs="Arial"/>
          <w:sz w:val="20"/>
        </w:rPr>
        <w:t>In addition to the criteria listed in ITB 3</w:t>
      </w:r>
      <w:r w:rsidR="008F7D49" w:rsidRPr="00891464">
        <w:rPr>
          <w:rFonts w:ascii="Arial" w:hAnsi="Arial" w:cs="Arial"/>
          <w:sz w:val="20"/>
        </w:rPr>
        <w:t>6</w:t>
      </w:r>
      <w:r w:rsidRPr="00891464">
        <w:rPr>
          <w:rFonts w:ascii="Arial" w:hAnsi="Arial" w:cs="Arial"/>
          <w:sz w:val="20"/>
        </w:rPr>
        <w:t>.2 (a) – (</w:t>
      </w:r>
      <w:r w:rsidR="00351CA6" w:rsidRPr="00891464">
        <w:rPr>
          <w:rFonts w:ascii="Arial" w:hAnsi="Arial" w:cs="Arial"/>
          <w:sz w:val="20"/>
        </w:rPr>
        <w:t>e</w:t>
      </w:r>
      <w:r w:rsidRPr="00891464">
        <w:rPr>
          <w:rFonts w:ascii="Arial" w:hAnsi="Arial" w:cs="Arial"/>
          <w:sz w:val="20"/>
        </w:rPr>
        <w:t>)</w:t>
      </w:r>
      <w:r w:rsidR="002E2BDC" w:rsidRPr="00891464">
        <w:rPr>
          <w:rFonts w:ascii="Arial" w:hAnsi="Arial" w:cs="Arial"/>
          <w:sz w:val="20"/>
        </w:rPr>
        <w:t>, other relevant factors are as follows:</w:t>
      </w:r>
    </w:p>
    <w:p w:rsidR="004C41BC" w:rsidRPr="00891464" w:rsidRDefault="004C41BC" w:rsidP="00874269">
      <w:pPr>
        <w:spacing w:before="120" w:after="120"/>
        <w:ind w:left="720" w:right="288"/>
        <w:rPr>
          <w:rFonts w:ascii="Arial" w:hAnsi="Arial" w:cs="Arial"/>
          <w:b/>
          <w:bCs/>
          <w:sz w:val="20"/>
        </w:rPr>
      </w:pPr>
    </w:p>
    <w:p w:rsidR="00874269" w:rsidRPr="00891464" w:rsidRDefault="00874269" w:rsidP="00874269">
      <w:pPr>
        <w:pStyle w:val="Heading1"/>
        <w:spacing w:before="120" w:after="120"/>
        <w:ind w:left="1080" w:right="288" w:hanging="720"/>
        <w:rPr>
          <w:rFonts w:cs="Times New Roman"/>
          <w:bCs w:val="0"/>
          <w:noProof/>
          <w:kern w:val="0"/>
          <w:sz w:val="20"/>
          <w:szCs w:val="20"/>
        </w:rPr>
      </w:pPr>
      <w:bookmarkStart w:id="5" w:name="_Toc78774484"/>
      <w:r w:rsidRPr="00891464">
        <w:rPr>
          <w:rFonts w:cs="Times New Roman"/>
          <w:bCs w:val="0"/>
          <w:noProof/>
          <w:kern w:val="0"/>
          <w:sz w:val="20"/>
          <w:szCs w:val="20"/>
        </w:rPr>
        <w:t>1.1</w:t>
      </w:r>
      <w:r w:rsidRPr="00891464">
        <w:rPr>
          <w:rFonts w:cs="Times New Roman"/>
          <w:bCs w:val="0"/>
          <w:noProof/>
          <w:kern w:val="0"/>
          <w:sz w:val="20"/>
          <w:szCs w:val="20"/>
        </w:rPr>
        <w:tab/>
        <w:t>Adequacy of Technical Proposal</w:t>
      </w:r>
      <w:bookmarkEnd w:id="5"/>
    </w:p>
    <w:p w:rsidR="00874269" w:rsidRPr="00891464" w:rsidRDefault="00874269" w:rsidP="009520B3">
      <w:pPr>
        <w:pStyle w:val="Heading1"/>
        <w:spacing w:before="120" w:after="120"/>
        <w:ind w:left="1080" w:right="288"/>
        <w:jc w:val="both"/>
        <w:rPr>
          <w:rFonts w:cs="Times New Roman"/>
          <w:b w:val="0"/>
          <w:noProof/>
          <w:kern w:val="0"/>
          <w:sz w:val="20"/>
          <w:szCs w:val="20"/>
        </w:rPr>
      </w:pPr>
      <w:bookmarkStart w:id="6" w:name="_Toc78774485"/>
      <w:r w:rsidRPr="00891464">
        <w:rPr>
          <w:rFonts w:cs="Times New Roman"/>
          <w:b w:val="0"/>
          <w:noProof/>
          <w:kern w:val="0"/>
          <w:sz w:val="20"/>
          <w:szCs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sidRPr="00891464">
        <w:rPr>
          <w:rFonts w:cs="Times New Roman"/>
          <w:b w:val="0"/>
          <w:noProof/>
          <w:kern w:val="0"/>
          <w:sz w:val="20"/>
          <w:szCs w:val="20"/>
        </w:rPr>
        <w:t>E</w:t>
      </w:r>
      <w:r w:rsidR="00FA1068" w:rsidRPr="00891464">
        <w:rPr>
          <w:rFonts w:cs="Times New Roman"/>
          <w:b w:val="0"/>
          <w:noProof/>
          <w:kern w:val="0"/>
          <w:sz w:val="20"/>
          <w:szCs w:val="20"/>
        </w:rPr>
        <w:t xml:space="preserve">mployer’s </w:t>
      </w:r>
      <w:r w:rsidRPr="00891464">
        <w:rPr>
          <w:rFonts w:cs="Times New Roman"/>
          <w:b w:val="0"/>
          <w:noProof/>
          <w:kern w:val="0"/>
          <w:sz w:val="20"/>
          <w:szCs w:val="20"/>
        </w:rPr>
        <w:t>Requirements).</w:t>
      </w:r>
      <w:bookmarkEnd w:id="6"/>
    </w:p>
    <w:p w:rsidR="00CC68CE" w:rsidRPr="00891464" w:rsidRDefault="00FC6559" w:rsidP="00CC68CE">
      <w:pPr>
        <w:pStyle w:val="Heading1"/>
        <w:spacing w:before="120" w:after="120"/>
        <w:ind w:left="1080" w:right="288"/>
        <w:jc w:val="both"/>
        <w:rPr>
          <w:b w:val="0"/>
        </w:rPr>
      </w:pPr>
      <w:r w:rsidRPr="00891464">
        <w:rPr>
          <w:b w:val="0"/>
          <w:sz w:val="20"/>
        </w:rPr>
        <w:t>Non-compliance with equipment and personnel requirements described in Section 6 (Employer’s Requirements) shall not normally be a ground for bid rejection</w:t>
      </w:r>
      <w:r w:rsidR="00CE3903" w:rsidRPr="00891464">
        <w:rPr>
          <w:b w:val="0"/>
          <w:sz w:val="20"/>
        </w:rPr>
        <w:t>,</w:t>
      </w:r>
      <w:r w:rsidRPr="00891464">
        <w:rPr>
          <w:b w:val="0"/>
          <w:sz w:val="20"/>
        </w:rPr>
        <w:t xml:space="preserve"> and such noncompliance will be subject to clarification during bid evaluation and rectification prior to contract award</w:t>
      </w:r>
      <w:r w:rsidR="00CC68CE" w:rsidRPr="00891464">
        <w:rPr>
          <w:b w:val="0"/>
          <w:sz w:val="20"/>
        </w:rPr>
        <w:t>.</w:t>
      </w:r>
    </w:p>
    <w:p w:rsidR="00A34D33" w:rsidRPr="00891464" w:rsidRDefault="00A34D33" w:rsidP="00874269"/>
    <w:p w:rsidR="00874269" w:rsidRPr="00891464" w:rsidRDefault="00874269" w:rsidP="00874269">
      <w:pPr>
        <w:pStyle w:val="Heading1"/>
        <w:spacing w:before="120" w:after="120"/>
        <w:ind w:left="1080" w:right="288" w:hanging="720"/>
        <w:rPr>
          <w:rFonts w:cs="Times New Roman"/>
          <w:bCs w:val="0"/>
          <w:noProof/>
          <w:kern w:val="0"/>
          <w:sz w:val="20"/>
          <w:szCs w:val="20"/>
        </w:rPr>
      </w:pPr>
      <w:bookmarkStart w:id="7" w:name="_Toc78774488"/>
      <w:r w:rsidRPr="00891464">
        <w:rPr>
          <w:rFonts w:cs="Times New Roman"/>
          <w:bCs w:val="0"/>
          <w:noProof/>
          <w:kern w:val="0"/>
          <w:sz w:val="20"/>
          <w:szCs w:val="20"/>
        </w:rPr>
        <w:t>1.</w:t>
      </w:r>
      <w:r w:rsidR="00130B18" w:rsidRPr="00891464">
        <w:rPr>
          <w:rFonts w:cs="Times New Roman"/>
          <w:bCs w:val="0"/>
          <w:noProof/>
          <w:kern w:val="0"/>
          <w:sz w:val="20"/>
          <w:szCs w:val="20"/>
        </w:rPr>
        <w:t>2</w:t>
      </w:r>
      <w:r w:rsidRPr="00891464">
        <w:rPr>
          <w:rFonts w:cs="Times New Roman"/>
          <w:bCs w:val="0"/>
          <w:noProof/>
          <w:kern w:val="0"/>
          <w:sz w:val="20"/>
          <w:szCs w:val="20"/>
        </w:rPr>
        <w:tab/>
        <w:t>Completion Time</w:t>
      </w:r>
      <w:bookmarkEnd w:id="7"/>
    </w:p>
    <w:p w:rsidR="00874269" w:rsidRPr="00891464" w:rsidRDefault="00874269" w:rsidP="00874269">
      <w:pPr>
        <w:pStyle w:val="Heading1"/>
        <w:spacing w:before="120" w:after="120"/>
        <w:ind w:left="1080" w:right="288"/>
        <w:rPr>
          <w:rFonts w:cs="Times New Roman"/>
          <w:bCs w:val="0"/>
          <w:noProof/>
          <w:sz w:val="20"/>
          <w:szCs w:val="20"/>
        </w:rPr>
      </w:pPr>
      <w:bookmarkStart w:id="8" w:name="_Toc78774489"/>
      <w:r w:rsidRPr="00891464">
        <w:rPr>
          <w:rFonts w:cs="Times New Roman"/>
          <w:b w:val="0"/>
          <w:noProof/>
          <w:kern w:val="0"/>
          <w:sz w:val="20"/>
          <w:szCs w:val="20"/>
        </w:rPr>
        <w:t>An alternative Completion Time, if permitted under ITB 13.2, will be evaluated as follows:</w:t>
      </w:r>
      <w:bookmarkEnd w:id="8"/>
      <w:r w:rsidR="00B92AD9" w:rsidRPr="00891464">
        <w:rPr>
          <w:rFonts w:cs="Times New Roman"/>
          <w:b w:val="0"/>
          <w:noProof/>
          <w:kern w:val="0"/>
          <w:sz w:val="20"/>
          <w:szCs w:val="20"/>
        </w:rPr>
        <w:t xml:space="preserve"> </w:t>
      </w:r>
      <w:r w:rsidR="00B92AD9" w:rsidRPr="00891464">
        <w:rPr>
          <w:rFonts w:cs="Times New Roman"/>
          <w:b w:val="0"/>
          <w:i/>
          <w:noProof/>
          <w:kern w:val="0"/>
          <w:sz w:val="20"/>
          <w:szCs w:val="20"/>
        </w:rPr>
        <w:t>An alternative Completion Time shall not be permitted.</w:t>
      </w:r>
    </w:p>
    <w:p w:rsidR="00A34D33" w:rsidRPr="00891464" w:rsidRDefault="00A34D33" w:rsidP="00A34D33"/>
    <w:p w:rsidR="00874269" w:rsidRPr="00891464" w:rsidRDefault="00874269" w:rsidP="00874269">
      <w:pPr>
        <w:pStyle w:val="Heading1"/>
        <w:spacing w:before="120" w:after="120"/>
        <w:ind w:left="1080" w:right="288" w:hanging="720"/>
        <w:rPr>
          <w:rFonts w:cs="Times New Roman"/>
          <w:bCs w:val="0"/>
          <w:noProof/>
          <w:kern w:val="0"/>
          <w:sz w:val="20"/>
          <w:szCs w:val="20"/>
        </w:rPr>
      </w:pPr>
      <w:bookmarkStart w:id="9" w:name="_Toc78774490"/>
      <w:r w:rsidRPr="00891464">
        <w:rPr>
          <w:rFonts w:cs="Times New Roman"/>
          <w:bCs w:val="0"/>
          <w:noProof/>
          <w:kern w:val="0"/>
          <w:sz w:val="20"/>
          <w:szCs w:val="20"/>
        </w:rPr>
        <w:t>1.</w:t>
      </w:r>
      <w:r w:rsidR="00130B18" w:rsidRPr="00891464">
        <w:rPr>
          <w:rFonts w:cs="Times New Roman"/>
          <w:bCs w:val="0"/>
          <w:noProof/>
          <w:kern w:val="0"/>
          <w:sz w:val="20"/>
          <w:szCs w:val="20"/>
        </w:rPr>
        <w:t>3</w:t>
      </w:r>
      <w:r w:rsidRPr="00891464">
        <w:rPr>
          <w:rFonts w:cs="Times New Roman"/>
          <w:bCs w:val="0"/>
          <w:noProof/>
          <w:kern w:val="0"/>
          <w:sz w:val="20"/>
          <w:szCs w:val="20"/>
        </w:rPr>
        <w:tab/>
        <w:t xml:space="preserve">Technical </w:t>
      </w:r>
      <w:r w:rsidR="001F73D5" w:rsidRPr="00891464">
        <w:rPr>
          <w:rFonts w:cs="Times New Roman"/>
          <w:bCs w:val="0"/>
          <w:noProof/>
          <w:kern w:val="0"/>
          <w:sz w:val="20"/>
          <w:szCs w:val="20"/>
        </w:rPr>
        <w:t>Alternatives</w:t>
      </w:r>
      <w:bookmarkEnd w:id="9"/>
    </w:p>
    <w:p w:rsidR="00874269" w:rsidRPr="00891464" w:rsidRDefault="00CB5F4C" w:rsidP="00B92AD9">
      <w:pPr>
        <w:pStyle w:val="Heading1"/>
        <w:spacing w:before="120" w:after="120"/>
        <w:ind w:left="1080" w:right="288"/>
        <w:jc w:val="both"/>
        <w:rPr>
          <w:rFonts w:cs="Times New Roman"/>
          <w:b w:val="0"/>
          <w:noProof/>
          <w:kern w:val="0"/>
          <w:sz w:val="20"/>
          <w:szCs w:val="20"/>
        </w:rPr>
      </w:pPr>
      <w:bookmarkStart w:id="10" w:name="_Toc78774491"/>
      <w:r w:rsidRPr="00891464">
        <w:rPr>
          <w:rFonts w:cs="Times New Roman"/>
          <w:b w:val="0"/>
          <w:noProof/>
          <w:kern w:val="0"/>
          <w:sz w:val="20"/>
          <w:szCs w:val="20"/>
        </w:rPr>
        <w:t>T</w:t>
      </w:r>
      <w:r w:rsidR="00874269" w:rsidRPr="00891464">
        <w:rPr>
          <w:rFonts w:cs="Times New Roman"/>
          <w:b w:val="0"/>
          <w:noProof/>
          <w:kern w:val="0"/>
          <w:sz w:val="20"/>
          <w:szCs w:val="20"/>
        </w:rPr>
        <w:t>echnical</w:t>
      </w:r>
      <w:r w:rsidRPr="00891464">
        <w:rPr>
          <w:rFonts w:cs="Times New Roman"/>
          <w:b w:val="0"/>
          <w:noProof/>
          <w:kern w:val="0"/>
          <w:sz w:val="20"/>
          <w:szCs w:val="20"/>
        </w:rPr>
        <w:t>alternatives</w:t>
      </w:r>
      <w:r w:rsidR="00874269" w:rsidRPr="00891464">
        <w:rPr>
          <w:rFonts w:cs="Times New Roman"/>
          <w:b w:val="0"/>
          <w:noProof/>
          <w:kern w:val="0"/>
          <w:sz w:val="20"/>
          <w:szCs w:val="20"/>
        </w:rPr>
        <w:t>, if permitted under ITB 13.4, will be evaluated as follows:</w:t>
      </w:r>
      <w:bookmarkEnd w:id="10"/>
      <w:r w:rsidR="00B92AD9" w:rsidRPr="00891464">
        <w:rPr>
          <w:rFonts w:cs="Times New Roman"/>
          <w:b w:val="0"/>
          <w:noProof/>
          <w:kern w:val="0"/>
          <w:sz w:val="20"/>
          <w:szCs w:val="20"/>
        </w:rPr>
        <w:t xml:space="preserve"> </w:t>
      </w:r>
      <w:r w:rsidR="00B92AD9" w:rsidRPr="00891464">
        <w:rPr>
          <w:rFonts w:cs="Times New Roman"/>
          <w:b w:val="0"/>
          <w:i/>
          <w:noProof/>
          <w:kern w:val="0"/>
          <w:sz w:val="20"/>
          <w:szCs w:val="20"/>
        </w:rPr>
        <w:t>Technicalalternatives shall not be permitted</w:t>
      </w:r>
      <w:r w:rsidR="00B92AD9" w:rsidRPr="00891464">
        <w:rPr>
          <w:rFonts w:cs="Times New Roman"/>
          <w:b w:val="0"/>
          <w:noProof/>
          <w:kern w:val="0"/>
          <w:sz w:val="20"/>
          <w:szCs w:val="20"/>
        </w:rPr>
        <w:t>.</w:t>
      </w:r>
    </w:p>
    <w:p w:rsidR="00A34D33" w:rsidRPr="00891464" w:rsidRDefault="00A34D33" w:rsidP="00874269"/>
    <w:p w:rsidR="00351CA6" w:rsidRPr="00891464" w:rsidRDefault="00351CA6" w:rsidP="00351CA6">
      <w:pPr>
        <w:pStyle w:val="Heading1"/>
        <w:spacing w:before="120" w:after="120"/>
        <w:ind w:left="1080" w:right="288" w:hanging="720"/>
        <w:rPr>
          <w:rFonts w:cs="Times New Roman"/>
          <w:bCs w:val="0"/>
          <w:noProof/>
          <w:kern w:val="0"/>
          <w:sz w:val="20"/>
          <w:szCs w:val="20"/>
          <w:lang w:val="fr-FR"/>
        </w:rPr>
      </w:pPr>
      <w:r w:rsidRPr="00891464">
        <w:rPr>
          <w:rFonts w:cs="Times New Roman"/>
          <w:bCs w:val="0"/>
          <w:noProof/>
          <w:kern w:val="0"/>
          <w:sz w:val="20"/>
          <w:szCs w:val="20"/>
          <w:lang w:val="fr-FR"/>
        </w:rPr>
        <w:t>1.</w:t>
      </w:r>
      <w:r w:rsidR="00130B18" w:rsidRPr="00891464">
        <w:rPr>
          <w:rFonts w:cs="Times New Roman"/>
          <w:bCs w:val="0"/>
          <w:noProof/>
          <w:kern w:val="0"/>
          <w:sz w:val="20"/>
          <w:szCs w:val="20"/>
          <w:lang w:val="fr-FR"/>
        </w:rPr>
        <w:t>4</w:t>
      </w:r>
      <w:r w:rsidRPr="00891464">
        <w:rPr>
          <w:rFonts w:cs="Times New Roman"/>
          <w:bCs w:val="0"/>
          <w:noProof/>
          <w:kern w:val="0"/>
          <w:sz w:val="20"/>
          <w:szCs w:val="20"/>
          <w:lang w:val="fr-FR"/>
        </w:rPr>
        <w:tab/>
        <w:t>Quantifiable Nonconformities and Omissions</w:t>
      </w:r>
    </w:p>
    <w:p w:rsidR="00611B51" w:rsidRPr="00891464" w:rsidRDefault="00F263FD" w:rsidP="004C41BC">
      <w:pPr>
        <w:pStyle w:val="Heading1"/>
        <w:spacing w:before="120" w:after="120"/>
        <w:ind w:left="1080" w:right="288"/>
        <w:rPr>
          <w:rFonts w:cs="Times New Roman"/>
          <w:b w:val="0"/>
          <w:noProof/>
          <w:kern w:val="0"/>
          <w:sz w:val="20"/>
          <w:szCs w:val="20"/>
        </w:rPr>
      </w:pPr>
      <w:r w:rsidRPr="00891464">
        <w:rPr>
          <w:rFonts w:cs="Times New Roman"/>
          <w:b w:val="0"/>
          <w:noProof/>
          <w:kern w:val="0"/>
          <w:sz w:val="20"/>
          <w:szCs w:val="20"/>
        </w:rPr>
        <w:t>Subject to ITB 14.2 and ITB 3</w:t>
      </w:r>
      <w:r w:rsidR="0054710E" w:rsidRPr="00891464">
        <w:rPr>
          <w:rFonts w:cs="Times New Roman"/>
          <w:b w:val="0"/>
          <w:noProof/>
          <w:kern w:val="0"/>
          <w:sz w:val="20"/>
          <w:szCs w:val="20"/>
        </w:rPr>
        <w:t>6</w:t>
      </w:r>
      <w:r w:rsidRPr="00891464">
        <w:rPr>
          <w:rFonts w:cs="Times New Roman"/>
          <w:b w:val="0"/>
          <w:noProof/>
          <w:kern w:val="0"/>
          <w:sz w:val="20"/>
          <w:szCs w:val="20"/>
        </w:rPr>
        <w:t>.2, the evaluated cost of quantifiable nonconformities including omissions, is determined as follows:</w:t>
      </w:r>
    </w:p>
    <w:p w:rsidR="00611B51" w:rsidRPr="00891464" w:rsidRDefault="00DC45AE" w:rsidP="009520B3">
      <w:pPr>
        <w:ind w:left="1080"/>
        <w:jc w:val="both"/>
        <w:rPr>
          <w:rFonts w:ascii="Arial" w:hAnsi="Arial" w:cs="Arial"/>
          <w:sz w:val="20"/>
          <w:szCs w:val="20"/>
        </w:rPr>
      </w:pPr>
      <w:r w:rsidRPr="00891464">
        <w:rPr>
          <w:rFonts w:ascii="Arial" w:hAnsi="Arial"/>
          <w:noProof/>
          <w:sz w:val="20"/>
          <w:szCs w:val="20"/>
        </w:rPr>
        <w:t>Pursuant to ITB 3</w:t>
      </w:r>
      <w:r w:rsidR="003A2786" w:rsidRPr="00891464">
        <w:rPr>
          <w:rFonts w:ascii="Arial" w:hAnsi="Arial"/>
          <w:noProof/>
          <w:sz w:val="20"/>
          <w:szCs w:val="20"/>
        </w:rPr>
        <w:t>1</w:t>
      </w:r>
      <w:r w:rsidRPr="00891464">
        <w:rPr>
          <w:rFonts w:ascii="Arial" w:hAnsi="Arial"/>
          <w:noProof/>
          <w:sz w:val="20"/>
          <w:szCs w:val="20"/>
        </w:rPr>
        <w:t xml:space="preserve">.3, the cost of all quantifiable nonmaterial nonconformities shall be </w:t>
      </w:r>
      <w:proofErr w:type="gramStart"/>
      <w:r w:rsidRPr="00891464">
        <w:rPr>
          <w:rFonts w:ascii="Arial" w:hAnsi="Arial"/>
          <w:noProof/>
          <w:sz w:val="20"/>
          <w:szCs w:val="20"/>
        </w:rPr>
        <w:t>evaluated</w:t>
      </w:r>
      <w:r w:rsidRPr="00891464">
        <w:rPr>
          <w:rFonts w:ascii="Arial" w:hAnsi="Arial" w:cs="Arial"/>
          <w:bCs/>
          <w:sz w:val="20"/>
          <w:szCs w:val="20"/>
        </w:rPr>
        <w:t>, but</w:t>
      </w:r>
      <w:proofErr w:type="gramEnd"/>
      <w:r w:rsidRPr="00891464">
        <w:rPr>
          <w:rFonts w:ascii="Arial" w:hAnsi="Arial" w:cs="Arial"/>
          <w:bCs/>
          <w:sz w:val="20"/>
          <w:szCs w:val="20"/>
        </w:rPr>
        <w:t xml:space="preserve"> excluding omission of prices in the Bill of Quantities</w:t>
      </w:r>
      <w:r w:rsidRPr="00891464">
        <w:rPr>
          <w:rFonts w:ascii="Arial" w:hAnsi="Arial"/>
          <w:noProof/>
          <w:sz w:val="20"/>
          <w:szCs w:val="20"/>
        </w:rPr>
        <w:t>. The Employer will make its own assessment of the cost of any nonmaterial nonconformities and omissions for the purpose of ensuring fair comparison of bids</w:t>
      </w:r>
      <w:r w:rsidRPr="00891464">
        <w:rPr>
          <w:rFonts w:ascii="Arial" w:hAnsi="Arial" w:cs="Arial"/>
          <w:bCs/>
          <w:sz w:val="20"/>
          <w:szCs w:val="20"/>
        </w:rPr>
        <w:t>.</w:t>
      </w:r>
    </w:p>
    <w:p w:rsidR="00A34D33" w:rsidRPr="00891464" w:rsidRDefault="00A34D33" w:rsidP="00A34D33"/>
    <w:p w:rsidR="00874269" w:rsidRPr="00891464" w:rsidRDefault="00874269" w:rsidP="00874269">
      <w:pPr>
        <w:pStyle w:val="Heading1"/>
        <w:spacing w:before="120" w:after="120"/>
        <w:ind w:left="1080" w:right="288" w:hanging="720"/>
        <w:rPr>
          <w:rFonts w:cs="Times New Roman"/>
          <w:bCs w:val="0"/>
          <w:noProof/>
          <w:kern w:val="0"/>
          <w:sz w:val="20"/>
          <w:szCs w:val="20"/>
        </w:rPr>
      </w:pPr>
      <w:r w:rsidRPr="00891464">
        <w:rPr>
          <w:rFonts w:cs="Times New Roman"/>
          <w:bCs w:val="0"/>
          <w:noProof/>
          <w:kern w:val="0"/>
          <w:sz w:val="20"/>
          <w:szCs w:val="20"/>
        </w:rPr>
        <w:t>1.</w:t>
      </w:r>
      <w:r w:rsidR="005916E0" w:rsidRPr="00891464">
        <w:rPr>
          <w:rFonts w:cs="Times New Roman"/>
          <w:bCs w:val="0"/>
          <w:noProof/>
          <w:kern w:val="0"/>
          <w:sz w:val="20"/>
          <w:szCs w:val="20"/>
        </w:rPr>
        <w:t>5</w:t>
      </w:r>
      <w:r w:rsidRPr="00891464">
        <w:rPr>
          <w:rFonts w:cs="Times New Roman"/>
          <w:bCs w:val="0"/>
          <w:noProof/>
          <w:kern w:val="0"/>
          <w:sz w:val="20"/>
          <w:szCs w:val="20"/>
        </w:rPr>
        <w:tab/>
      </w:r>
      <w:r w:rsidR="00E32580" w:rsidRPr="00891464">
        <w:rPr>
          <w:rFonts w:cs="Times New Roman"/>
          <w:bCs w:val="0"/>
          <w:noProof/>
          <w:kern w:val="0"/>
          <w:sz w:val="20"/>
          <w:szCs w:val="20"/>
        </w:rPr>
        <w:t>Margin of Preference</w:t>
      </w:r>
    </w:p>
    <w:p w:rsidR="00D0074D" w:rsidRPr="00891464" w:rsidRDefault="00874269" w:rsidP="00CB4EBE">
      <w:pPr>
        <w:pStyle w:val="Heading1"/>
        <w:spacing w:before="120" w:after="120"/>
        <w:ind w:left="1080"/>
        <w:rPr>
          <w:rFonts w:cs="Times New Roman"/>
          <w:b w:val="0"/>
          <w:noProof/>
          <w:kern w:val="0"/>
          <w:sz w:val="20"/>
          <w:szCs w:val="20"/>
        </w:rPr>
      </w:pPr>
      <w:r w:rsidRPr="00891464">
        <w:rPr>
          <w:rFonts w:cs="Times New Roman"/>
          <w:b w:val="0"/>
          <w:noProof/>
          <w:kern w:val="0"/>
          <w:sz w:val="20"/>
          <w:szCs w:val="20"/>
        </w:rPr>
        <w:t>If a margin of preference shall apply under ITB 3</w:t>
      </w:r>
      <w:r w:rsidR="008C1799" w:rsidRPr="00891464">
        <w:rPr>
          <w:rFonts w:cs="Times New Roman"/>
          <w:b w:val="0"/>
          <w:noProof/>
          <w:kern w:val="0"/>
          <w:sz w:val="20"/>
          <w:szCs w:val="20"/>
        </w:rPr>
        <w:t>5</w:t>
      </w:r>
      <w:r w:rsidRPr="00891464">
        <w:rPr>
          <w:rFonts w:cs="Times New Roman"/>
          <w:b w:val="0"/>
          <w:noProof/>
          <w:kern w:val="0"/>
          <w:sz w:val="20"/>
          <w:szCs w:val="20"/>
        </w:rPr>
        <w:t>.1, the procedure will be as follows as:</w:t>
      </w:r>
      <w:r w:rsidR="00B92AD9" w:rsidRPr="00891464">
        <w:rPr>
          <w:rFonts w:cs="Times New Roman"/>
          <w:b w:val="0"/>
          <w:noProof/>
          <w:kern w:val="0"/>
          <w:sz w:val="20"/>
          <w:szCs w:val="20"/>
        </w:rPr>
        <w:t xml:space="preserve"> </w:t>
      </w:r>
      <w:r w:rsidR="00B92AD9" w:rsidRPr="00891464">
        <w:rPr>
          <w:rFonts w:cs="Times New Roman"/>
          <w:b w:val="0"/>
          <w:i/>
          <w:noProof/>
          <w:kern w:val="0"/>
          <w:sz w:val="20"/>
          <w:szCs w:val="20"/>
        </w:rPr>
        <w:t>a margin of preference shall not be allowed.</w:t>
      </w:r>
    </w:p>
    <w:p w:rsidR="00E0746D" w:rsidRPr="00891464" w:rsidRDefault="00E0746D" w:rsidP="005853F2">
      <w:pPr>
        <w:rPr>
          <w:rFonts w:ascii="Arial" w:hAnsi="Arial" w:cs="Arial"/>
          <w:sz w:val="20"/>
          <w:szCs w:val="20"/>
        </w:rPr>
      </w:pPr>
    </w:p>
    <w:p w:rsidR="005916E0" w:rsidRPr="00891464" w:rsidRDefault="005916E0" w:rsidP="005916E0">
      <w:pPr>
        <w:pStyle w:val="Heading1"/>
        <w:spacing w:before="120" w:after="120"/>
        <w:ind w:left="1080" w:right="288" w:hanging="720"/>
        <w:rPr>
          <w:rFonts w:cs="Times New Roman"/>
          <w:bCs w:val="0"/>
          <w:noProof/>
          <w:kern w:val="0"/>
          <w:sz w:val="20"/>
          <w:szCs w:val="20"/>
        </w:rPr>
      </w:pPr>
      <w:r w:rsidRPr="00891464">
        <w:rPr>
          <w:rFonts w:cs="Times New Roman"/>
          <w:bCs w:val="0"/>
          <w:noProof/>
          <w:kern w:val="0"/>
          <w:sz w:val="20"/>
          <w:szCs w:val="20"/>
        </w:rPr>
        <w:t>1.6</w:t>
      </w:r>
      <w:r w:rsidRPr="00891464">
        <w:rPr>
          <w:rFonts w:cs="Times New Roman"/>
          <w:bCs w:val="0"/>
          <w:noProof/>
          <w:kern w:val="0"/>
          <w:sz w:val="20"/>
          <w:szCs w:val="20"/>
        </w:rPr>
        <w:tab/>
        <w:t>Multiple Contracts</w:t>
      </w:r>
    </w:p>
    <w:p w:rsidR="0089312A" w:rsidRPr="00891464" w:rsidRDefault="00EA1832" w:rsidP="00CB4EBE">
      <w:pPr>
        <w:pStyle w:val="Heading1"/>
        <w:spacing w:before="120" w:after="120"/>
        <w:ind w:left="1080"/>
        <w:jc w:val="both"/>
        <w:rPr>
          <w:rFonts w:cs="Times New Roman"/>
          <w:b w:val="0"/>
          <w:noProof/>
          <w:kern w:val="0"/>
          <w:sz w:val="20"/>
          <w:szCs w:val="20"/>
        </w:rPr>
      </w:pPr>
      <w:r w:rsidRPr="00891464">
        <w:rPr>
          <w:rFonts w:cs="Times New Roman"/>
          <w:b w:val="0"/>
          <w:noProof/>
          <w:kern w:val="0"/>
          <w:sz w:val="20"/>
          <w:szCs w:val="20"/>
        </w:rPr>
        <w:t xml:space="preserve">If the </w:t>
      </w:r>
      <w:r w:rsidR="0089312A" w:rsidRPr="00891464">
        <w:rPr>
          <w:rFonts w:cs="Times New Roman"/>
          <w:b w:val="0"/>
          <w:noProof/>
          <w:kern w:val="0"/>
          <w:sz w:val="20"/>
          <w:szCs w:val="20"/>
        </w:rPr>
        <w:t>Works are grouped in multiple contracts and pursuant to ITB 3</w:t>
      </w:r>
      <w:r w:rsidR="00EA64BD" w:rsidRPr="00891464">
        <w:rPr>
          <w:rFonts w:cs="Times New Roman"/>
          <w:b w:val="0"/>
          <w:noProof/>
          <w:kern w:val="0"/>
          <w:sz w:val="20"/>
          <w:szCs w:val="20"/>
        </w:rPr>
        <w:t>6</w:t>
      </w:r>
      <w:r w:rsidR="0089312A" w:rsidRPr="00891464">
        <w:rPr>
          <w:rFonts w:cs="Times New Roman"/>
          <w:b w:val="0"/>
          <w:noProof/>
          <w:kern w:val="0"/>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sidRPr="00891464">
        <w:rPr>
          <w:rFonts w:cs="Times New Roman"/>
          <w:b w:val="0"/>
          <w:noProof/>
          <w:kern w:val="0"/>
          <w:sz w:val="20"/>
          <w:szCs w:val="20"/>
        </w:rPr>
        <w:t xml:space="preserve"> of award of multiple contracts: </w:t>
      </w:r>
      <w:r w:rsidR="00AE155B" w:rsidRPr="00891464">
        <w:rPr>
          <w:rFonts w:cs="Times New Roman"/>
          <w:b w:val="0"/>
          <w:i/>
          <w:noProof/>
          <w:kern w:val="0"/>
          <w:sz w:val="20"/>
          <w:szCs w:val="20"/>
          <w:u w:val="single"/>
        </w:rPr>
        <w:t>Not Applicable</w:t>
      </w:r>
      <w:r w:rsidR="00AE155B" w:rsidRPr="00891464">
        <w:rPr>
          <w:rFonts w:cs="Times New Roman"/>
          <w:b w:val="0"/>
          <w:noProof/>
          <w:kern w:val="0"/>
          <w:sz w:val="20"/>
          <w:szCs w:val="20"/>
        </w:rPr>
        <w:t>.</w:t>
      </w:r>
    </w:p>
    <w:p w:rsidR="0089312A" w:rsidRPr="00891464" w:rsidRDefault="0089312A" w:rsidP="005375D0">
      <w:pPr>
        <w:pStyle w:val="Heading1"/>
        <w:spacing w:before="0" w:after="0"/>
        <w:rPr>
          <w:rFonts w:cs="Times New Roman"/>
          <w:b w:val="0"/>
          <w:bCs w:val="0"/>
          <w:noProof/>
          <w:kern w:val="0"/>
          <w:sz w:val="20"/>
          <w:szCs w:val="20"/>
        </w:rPr>
      </w:pPr>
    </w:p>
    <w:p w:rsidR="004051AC" w:rsidRPr="00891464" w:rsidRDefault="004051AC" w:rsidP="00723A70">
      <w:pPr>
        <w:pStyle w:val="Heading1"/>
        <w:spacing w:before="360" w:after="120"/>
        <w:ind w:left="270"/>
        <w:rPr>
          <w:rFonts w:cs="Times New Roman"/>
          <w:bCs w:val="0"/>
          <w:noProof/>
          <w:kern w:val="0"/>
          <w:sz w:val="28"/>
          <w:szCs w:val="20"/>
        </w:rPr>
      </w:pPr>
      <w:r w:rsidRPr="00891464">
        <w:rPr>
          <w:sz w:val="20"/>
        </w:rPr>
        <w:br w:type="page"/>
      </w:r>
      <w:bookmarkStart w:id="11" w:name="_Toc103401422"/>
      <w:r w:rsidRPr="00891464">
        <w:rPr>
          <w:rFonts w:cs="Times New Roman"/>
          <w:bCs w:val="0"/>
          <w:noProof/>
          <w:kern w:val="0"/>
          <w:sz w:val="28"/>
          <w:szCs w:val="20"/>
        </w:rPr>
        <w:lastRenderedPageBreak/>
        <w:t>2.</w:t>
      </w:r>
      <w:r w:rsidRPr="00891464">
        <w:rPr>
          <w:rFonts w:cs="Times New Roman"/>
          <w:bCs w:val="0"/>
          <w:noProof/>
          <w:kern w:val="0"/>
          <w:sz w:val="28"/>
          <w:szCs w:val="20"/>
        </w:rPr>
        <w:tab/>
        <w:t>Qualification</w:t>
      </w:r>
      <w:bookmarkEnd w:id="11"/>
    </w:p>
    <w:p w:rsidR="00723A70" w:rsidRPr="00891464" w:rsidRDefault="00A056AA" w:rsidP="00723A70">
      <w:pPr>
        <w:pStyle w:val="Heading1"/>
        <w:spacing w:before="360" w:after="120"/>
        <w:ind w:left="270" w:hanging="18"/>
        <w:rPr>
          <w:rFonts w:cs="Times New Roman"/>
          <w:b w:val="0"/>
          <w:bCs w:val="0"/>
          <w:noProof/>
          <w:kern w:val="0"/>
          <w:sz w:val="20"/>
          <w:szCs w:val="20"/>
        </w:rPr>
      </w:pPr>
      <w:bookmarkStart w:id="12" w:name="_Toc103401423"/>
      <w:r w:rsidRPr="00891464">
        <w:rPr>
          <w:b w:val="0"/>
          <w:sz w:val="20"/>
          <w:szCs w:val="20"/>
        </w:rPr>
        <w:t>I</w:t>
      </w:r>
      <w:r w:rsidR="00E75D42" w:rsidRPr="00891464">
        <w:rPr>
          <w:b w:val="0"/>
          <w:sz w:val="20"/>
          <w:szCs w:val="20"/>
        </w:rPr>
        <w:t>t is the legal entity or entities comprising the Bidder, and not the Bidder’s parent companies, subsidiaries</w:t>
      </w:r>
      <w:r w:rsidR="00AD5107" w:rsidRPr="00891464">
        <w:rPr>
          <w:b w:val="0"/>
          <w:sz w:val="20"/>
          <w:szCs w:val="20"/>
        </w:rPr>
        <w:t>,</w:t>
      </w:r>
      <w:r w:rsidR="00E75D42" w:rsidRPr="00891464">
        <w:rPr>
          <w:b w:val="0"/>
          <w:sz w:val="20"/>
          <w:szCs w:val="20"/>
        </w:rPr>
        <w:t xml:space="preserve"> or affiliates, that must satisfy the qualification criteria described below</w:t>
      </w:r>
      <w:r w:rsidR="00723A70" w:rsidRPr="00891464">
        <w:rPr>
          <w:b w:val="0"/>
          <w:sz w:val="20"/>
          <w:szCs w:val="20"/>
        </w:rPr>
        <w:t>.</w:t>
      </w:r>
    </w:p>
    <w:p w:rsidR="004051AC" w:rsidRPr="00891464" w:rsidRDefault="004051AC">
      <w:pPr>
        <w:pStyle w:val="Heading1"/>
        <w:spacing w:before="360" w:after="120"/>
        <w:ind w:left="900" w:hanging="648"/>
        <w:rPr>
          <w:rFonts w:cs="Times New Roman"/>
          <w:bCs w:val="0"/>
          <w:noProof/>
          <w:kern w:val="0"/>
          <w:sz w:val="24"/>
          <w:szCs w:val="24"/>
        </w:rPr>
      </w:pPr>
      <w:r w:rsidRPr="00891464">
        <w:rPr>
          <w:rFonts w:cs="Times New Roman"/>
          <w:bCs w:val="0"/>
          <w:noProof/>
          <w:kern w:val="0"/>
          <w:sz w:val="24"/>
          <w:szCs w:val="24"/>
        </w:rPr>
        <w:t>2.1</w:t>
      </w:r>
      <w:r w:rsidRPr="00891464">
        <w:rPr>
          <w:rFonts w:cs="Times New Roman"/>
          <w:bCs w:val="0"/>
          <w:noProof/>
          <w:kern w:val="0"/>
          <w:sz w:val="24"/>
          <w:szCs w:val="24"/>
        </w:rPr>
        <w:tab/>
        <w:t>Eligibility</w:t>
      </w:r>
      <w:bookmarkEnd w:id="12"/>
    </w:p>
    <w:p w:rsidR="004051AC" w:rsidRPr="00891464" w:rsidRDefault="004051AC">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891464">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Documents</w:t>
            </w:r>
          </w:p>
        </w:tc>
      </w:tr>
      <w:tr w:rsidR="004051AC" w:rsidRPr="00891464">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Submission Requirements</w:t>
            </w:r>
          </w:p>
        </w:tc>
      </w:tr>
      <w:tr w:rsidR="004051AC" w:rsidRPr="00891464">
        <w:trPr>
          <w:cantSplit/>
          <w:trHeight w:val="465"/>
          <w:jc w:val="center"/>
        </w:trPr>
        <w:tc>
          <w:tcPr>
            <w:tcW w:w="0" w:type="auto"/>
            <w:vMerge/>
            <w:tcBorders>
              <w:top w:val="nil"/>
              <w:left w:val="single" w:sz="4" w:space="0" w:color="auto"/>
              <w:bottom w:val="single" w:sz="12" w:space="0" w:color="000000"/>
              <w:right w:val="nil"/>
            </w:tcBorders>
            <w:vAlign w:val="center"/>
          </w:tcPr>
          <w:p w:rsidR="004051AC" w:rsidRPr="00891464"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rsidR="004051AC" w:rsidRPr="00891464"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rsidR="004051AC" w:rsidRPr="00891464" w:rsidRDefault="004051AC">
            <w:pPr>
              <w:rPr>
                <w:rFonts w:ascii="Arial" w:eastAsia="Arial Unicode MS" w:hAnsi="Arial" w:cs="Arial"/>
                <w:b/>
                <w:bCs/>
                <w:sz w:val="16"/>
              </w:rPr>
            </w:pPr>
          </w:p>
        </w:tc>
      </w:tr>
    </w:tbl>
    <w:p w:rsidR="004051AC" w:rsidRPr="00891464" w:rsidRDefault="004051AC">
      <w:pPr>
        <w:pStyle w:val="Heading1"/>
        <w:ind w:left="900" w:hanging="648"/>
        <w:rPr>
          <w:bCs w:val="0"/>
          <w:sz w:val="20"/>
        </w:rPr>
      </w:pPr>
      <w:bookmarkStart w:id="13" w:name="_Toc103401424"/>
      <w:r w:rsidRPr="00891464">
        <w:rPr>
          <w:bCs w:val="0"/>
          <w:sz w:val="20"/>
        </w:rPr>
        <w:t>2.1.1   Nationality</w:t>
      </w:r>
      <w:bookmarkEnd w:id="1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891464">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rPr>
                <w:rFonts w:ascii="Arial" w:eastAsia="Arial Unicode MS" w:hAnsi="Arial" w:cs="Arial"/>
                <w:sz w:val="20"/>
                <w:szCs w:val="20"/>
              </w:rPr>
            </w:pPr>
            <w:r w:rsidRPr="00891464">
              <w:rPr>
                <w:rFonts w:ascii="Arial" w:hAnsi="Arial" w:cs="Arial"/>
                <w:sz w:val="20"/>
                <w:szCs w:val="20"/>
              </w:rPr>
              <w:t>Nationality in accordance with IT</w:t>
            </w:r>
            <w:r w:rsidR="005724E3" w:rsidRPr="00891464">
              <w:rPr>
                <w:rFonts w:ascii="Arial" w:hAnsi="Arial" w:cs="Arial"/>
                <w:sz w:val="20"/>
                <w:szCs w:val="20"/>
              </w:rPr>
              <w:t>B</w:t>
            </w:r>
            <w:r w:rsidRPr="00891464">
              <w:rPr>
                <w:rFonts w:ascii="Arial" w:hAnsi="Arial" w:cs="Arial"/>
                <w:sz w:val="20"/>
                <w:szCs w:val="20"/>
              </w:rPr>
              <w:t xml:space="preserve"> Sub</w:t>
            </w:r>
            <w:r w:rsidR="00AD5107" w:rsidRPr="00891464">
              <w:rPr>
                <w:rFonts w:ascii="Arial" w:hAnsi="Arial" w:cs="Arial"/>
                <w:sz w:val="20"/>
                <w:szCs w:val="20"/>
              </w:rPr>
              <w:t>c</w:t>
            </w:r>
            <w:r w:rsidRPr="00891464">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hAnsi="Arial" w:cs="Arial"/>
                <w:sz w:val="16"/>
                <w:szCs w:val="16"/>
              </w:rPr>
            </w:pPr>
            <w:r w:rsidRPr="00891464">
              <w:rPr>
                <w:rFonts w:ascii="Arial" w:hAnsi="Arial" w:cs="Arial"/>
                <w:sz w:val="16"/>
                <w:szCs w:val="16"/>
              </w:rPr>
              <w:t>Forms</w:t>
            </w:r>
          </w:p>
          <w:p w:rsidR="004051AC" w:rsidRPr="00891464" w:rsidRDefault="00B605CD">
            <w:pPr>
              <w:spacing w:before="60" w:after="60"/>
              <w:ind w:left="72" w:right="72"/>
              <w:jc w:val="center"/>
              <w:rPr>
                <w:rFonts w:ascii="Arial" w:hAnsi="Arial" w:cs="Arial"/>
                <w:sz w:val="16"/>
                <w:szCs w:val="16"/>
              </w:rPr>
            </w:pPr>
            <w:r w:rsidRPr="00891464">
              <w:rPr>
                <w:rFonts w:ascii="Arial" w:hAnsi="Arial" w:cs="Arial"/>
                <w:sz w:val="16"/>
                <w:szCs w:val="16"/>
              </w:rPr>
              <w:t xml:space="preserve"> ELI –1; ELI –</w:t>
            </w:r>
            <w:r w:rsidR="004051AC" w:rsidRPr="00891464">
              <w:rPr>
                <w:rFonts w:ascii="Arial" w:hAnsi="Arial" w:cs="Arial"/>
                <w:sz w:val="16"/>
                <w:szCs w:val="16"/>
              </w:rPr>
              <w:t>2</w:t>
            </w:r>
          </w:p>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with attachments</w:t>
            </w:r>
          </w:p>
        </w:tc>
      </w:tr>
    </w:tbl>
    <w:p w:rsidR="004051AC" w:rsidRPr="00891464" w:rsidRDefault="004051AC">
      <w:pPr>
        <w:pStyle w:val="Heading1"/>
        <w:ind w:left="900" w:hanging="648"/>
        <w:rPr>
          <w:bCs w:val="0"/>
          <w:sz w:val="20"/>
        </w:rPr>
      </w:pPr>
      <w:bookmarkStart w:id="14" w:name="_Toc103401425"/>
      <w:r w:rsidRPr="00891464">
        <w:rPr>
          <w:bCs w:val="0"/>
          <w:sz w:val="20"/>
        </w:rPr>
        <w:t>2.1.2</w:t>
      </w:r>
      <w:r w:rsidRPr="00891464">
        <w:rPr>
          <w:bCs w:val="0"/>
          <w:sz w:val="20"/>
        </w:rPr>
        <w:tab/>
        <w:t>Conflict of Interest</w:t>
      </w:r>
      <w:bookmarkEnd w:id="1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891464">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rPr>
                <w:rFonts w:ascii="Arial" w:eastAsia="Arial Unicode MS" w:hAnsi="Arial" w:cs="Arial"/>
                <w:sz w:val="20"/>
                <w:szCs w:val="20"/>
              </w:rPr>
            </w:pPr>
            <w:r w:rsidRPr="00891464">
              <w:rPr>
                <w:rFonts w:ascii="Arial" w:hAnsi="Arial" w:cs="Arial"/>
                <w:sz w:val="20"/>
                <w:szCs w:val="20"/>
              </w:rPr>
              <w:t>No conflicts of interest in accordance with IT</w:t>
            </w:r>
            <w:r w:rsidR="005724E3" w:rsidRPr="00891464">
              <w:rPr>
                <w:rFonts w:ascii="Arial" w:hAnsi="Arial" w:cs="Arial"/>
                <w:sz w:val="20"/>
                <w:szCs w:val="20"/>
              </w:rPr>
              <w:t>B</w:t>
            </w:r>
            <w:r w:rsidRPr="00891464">
              <w:rPr>
                <w:rFonts w:ascii="Arial" w:hAnsi="Arial" w:cs="Arial"/>
                <w:sz w:val="20"/>
                <w:szCs w:val="20"/>
              </w:rPr>
              <w:t xml:space="preserve"> Sub</w:t>
            </w:r>
            <w:r w:rsidR="00AD5107" w:rsidRPr="00891464">
              <w:rPr>
                <w:rFonts w:ascii="Arial" w:hAnsi="Arial" w:cs="Arial"/>
                <w:sz w:val="20"/>
                <w:szCs w:val="20"/>
              </w:rPr>
              <w:t>c</w:t>
            </w:r>
            <w:r w:rsidRPr="00891464">
              <w:rPr>
                <w:rFonts w:ascii="Arial" w:hAnsi="Arial" w:cs="Arial"/>
                <w:sz w:val="20"/>
                <w:szCs w:val="20"/>
              </w:rPr>
              <w:t>lause 4.</w:t>
            </w:r>
            <w:r w:rsidR="0048251B" w:rsidRPr="00891464">
              <w:rPr>
                <w:rFonts w:ascii="Arial" w:hAnsi="Arial" w:cs="Arial"/>
                <w:sz w:val="20"/>
                <w:szCs w:val="20"/>
              </w:rPr>
              <w:t>3</w:t>
            </w:r>
            <w:r w:rsidRPr="0089146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891464" w:rsidRDefault="006C20B2">
            <w:pPr>
              <w:spacing w:before="60" w:after="60"/>
              <w:ind w:left="72" w:right="72"/>
              <w:jc w:val="center"/>
              <w:rPr>
                <w:rFonts w:ascii="Arial" w:eastAsia="Arial Unicode MS" w:hAnsi="Arial" w:cs="Arial"/>
                <w:sz w:val="16"/>
                <w:szCs w:val="16"/>
              </w:rPr>
            </w:pPr>
            <w:r w:rsidRPr="00891464">
              <w:rPr>
                <w:rFonts w:ascii="Arial" w:hAnsi="Arial" w:cs="Arial"/>
                <w:sz w:val="16"/>
                <w:szCs w:val="16"/>
              </w:rPr>
              <w:t xml:space="preserve">Letter of </w:t>
            </w:r>
            <w:r w:rsidR="00B17F8E" w:rsidRPr="00891464">
              <w:rPr>
                <w:rFonts w:ascii="Arial" w:hAnsi="Arial" w:cs="Arial"/>
                <w:sz w:val="16"/>
                <w:szCs w:val="16"/>
              </w:rPr>
              <w:t xml:space="preserve">Technical </w:t>
            </w:r>
            <w:r w:rsidRPr="00891464">
              <w:rPr>
                <w:rFonts w:ascii="Arial" w:hAnsi="Arial" w:cs="Arial"/>
                <w:sz w:val="16"/>
                <w:szCs w:val="16"/>
              </w:rPr>
              <w:t>Bid</w:t>
            </w:r>
          </w:p>
        </w:tc>
      </w:tr>
    </w:tbl>
    <w:p w:rsidR="004051AC" w:rsidRPr="00891464" w:rsidRDefault="004051AC">
      <w:pPr>
        <w:pStyle w:val="Heading1"/>
        <w:ind w:left="900" w:hanging="648"/>
        <w:rPr>
          <w:bCs w:val="0"/>
          <w:sz w:val="20"/>
        </w:rPr>
      </w:pPr>
      <w:bookmarkStart w:id="15" w:name="_Toc103401426"/>
      <w:r w:rsidRPr="00891464">
        <w:rPr>
          <w:bCs w:val="0"/>
          <w:sz w:val="20"/>
        </w:rPr>
        <w:t>2.1.3</w:t>
      </w:r>
      <w:r w:rsidRPr="00891464">
        <w:rPr>
          <w:bCs w:val="0"/>
          <w:sz w:val="20"/>
        </w:rPr>
        <w:tab/>
      </w:r>
      <w:r w:rsidR="00874269" w:rsidRPr="00891464">
        <w:rPr>
          <w:bCs w:val="0"/>
          <w:sz w:val="20"/>
        </w:rPr>
        <w:t xml:space="preserve">ADB </w:t>
      </w:r>
      <w:r w:rsidRPr="00891464">
        <w:rPr>
          <w:bCs w:val="0"/>
          <w:sz w:val="20"/>
        </w:rPr>
        <w:t>Eligibility</w:t>
      </w:r>
      <w:bookmarkEnd w:id="1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891464">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rPr>
                <w:rFonts w:ascii="Arial" w:eastAsia="Arial Unicode MS" w:hAnsi="Arial" w:cs="Arial"/>
                <w:sz w:val="20"/>
                <w:szCs w:val="20"/>
              </w:rPr>
            </w:pPr>
            <w:r w:rsidRPr="00891464">
              <w:rPr>
                <w:rFonts w:ascii="Arial" w:hAnsi="Arial" w:cs="Arial"/>
                <w:sz w:val="20"/>
                <w:szCs w:val="20"/>
              </w:rPr>
              <w:t xml:space="preserve">Not having been declared ineligible by </w:t>
            </w:r>
            <w:r w:rsidR="00874269" w:rsidRPr="00891464">
              <w:rPr>
                <w:rFonts w:ascii="Arial" w:hAnsi="Arial" w:cs="Arial"/>
                <w:sz w:val="20"/>
                <w:szCs w:val="20"/>
              </w:rPr>
              <w:t>ADB</w:t>
            </w:r>
            <w:r w:rsidRPr="00891464">
              <w:rPr>
                <w:rFonts w:ascii="Arial" w:hAnsi="Arial" w:cs="Arial"/>
                <w:sz w:val="20"/>
                <w:szCs w:val="20"/>
              </w:rPr>
              <w:t>, as described in IT</w:t>
            </w:r>
            <w:r w:rsidR="005724E3" w:rsidRPr="00891464">
              <w:rPr>
                <w:rFonts w:ascii="Arial" w:hAnsi="Arial" w:cs="Arial"/>
                <w:sz w:val="20"/>
                <w:szCs w:val="20"/>
              </w:rPr>
              <w:t>B</w:t>
            </w:r>
            <w:r w:rsidRPr="00891464">
              <w:rPr>
                <w:rFonts w:ascii="Arial" w:hAnsi="Arial" w:cs="Arial"/>
                <w:sz w:val="20"/>
                <w:szCs w:val="20"/>
              </w:rPr>
              <w:t xml:space="preserve"> Sub</w:t>
            </w:r>
            <w:r w:rsidR="00AD5107" w:rsidRPr="00891464">
              <w:rPr>
                <w:rFonts w:ascii="Arial" w:hAnsi="Arial" w:cs="Arial"/>
                <w:sz w:val="20"/>
                <w:szCs w:val="20"/>
              </w:rPr>
              <w:t>c</w:t>
            </w:r>
            <w:r w:rsidRPr="00891464">
              <w:rPr>
                <w:rFonts w:ascii="Arial" w:hAnsi="Arial" w:cs="Arial"/>
                <w:sz w:val="20"/>
                <w:szCs w:val="20"/>
              </w:rPr>
              <w:t>lause 4.</w:t>
            </w:r>
            <w:r w:rsidR="0048251B" w:rsidRPr="00891464">
              <w:rPr>
                <w:rFonts w:ascii="Arial" w:hAnsi="Arial" w:cs="Arial"/>
                <w:sz w:val="20"/>
                <w:szCs w:val="20"/>
              </w:rPr>
              <w:t>4</w:t>
            </w:r>
            <w:r w:rsidRPr="0089146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891464" w:rsidRDefault="006C20B2">
            <w:pPr>
              <w:spacing w:before="60" w:after="60"/>
              <w:ind w:left="72" w:right="72"/>
              <w:jc w:val="center"/>
              <w:rPr>
                <w:rFonts w:ascii="Arial" w:eastAsia="Arial Unicode MS" w:hAnsi="Arial" w:cs="Arial"/>
                <w:sz w:val="16"/>
                <w:szCs w:val="16"/>
              </w:rPr>
            </w:pPr>
            <w:r w:rsidRPr="00891464">
              <w:rPr>
                <w:rFonts w:ascii="Arial" w:hAnsi="Arial" w:cs="Arial"/>
                <w:sz w:val="16"/>
                <w:szCs w:val="16"/>
              </w:rPr>
              <w:t xml:space="preserve">Letter of </w:t>
            </w:r>
            <w:r w:rsidR="00B17F8E" w:rsidRPr="00891464">
              <w:rPr>
                <w:rFonts w:ascii="Arial" w:hAnsi="Arial" w:cs="Arial"/>
                <w:sz w:val="16"/>
                <w:szCs w:val="16"/>
              </w:rPr>
              <w:t xml:space="preserve">Technical </w:t>
            </w:r>
            <w:r w:rsidRPr="00891464">
              <w:rPr>
                <w:rFonts w:ascii="Arial" w:hAnsi="Arial" w:cs="Arial"/>
                <w:sz w:val="16"/>
                <w:szCs w:val="16"/>
              </w:rPr>
              <w:t>Bid</w:t>
            </w:r>
          </w:p>
        </w:tc>
      </w:tr>
    </w:tbl>
    <w:p w:rsidR="004051AC" w:rsidRPr="00891464" w:rsidRDefault="004051AC">
      <w:pPr>
        <w:pStyle w:val="Heading1"/>
        <w:ind w:left="900" w:hanging="648"/>
        <w:rPr>
          <w:rFonts w:eastAsia="Arial Unicode MS"/>
          <w:bCs w:val="0"/>
          <w:sz w:val="20"/>
        </w:rPr>
      </w:pPr>
      <w:bookmarkStart w:id="16" w:name="_Toc103401427"/>
      <w:r w:rsidRPr="00891464">
        <w:rPr>
          <w:bCs w:val="0"/>
          <w:sz w:val="20"/>
        </w:rPr>
        <w:t>2.1.4</w:t>
      </w:r>
      <w:r w:rsidRPr="00891464">
        <w:rPr>
          <w:bCs w:val="0"/>
          <w:sz w:val="20"/>
        </w:rPr>
        <w:tab/>
        <w:t>Government-</w:t>
      </w:r>
      <w:r w:rsidR="000E75F4" w:rsidRPr="00891464">
        <w:rPr>
          <w:bCs w:val="0"/>
          <w:sz w:val="20"/>
        </w:rPr>
        <w:t>O</w:t>
      </w:r>
      <w:r w:rsidRPr="00891464">
        <w:rPr>
          <w:bCs w:val="0"/>
          <w:sz w:val="20"/>
        </w:rPr>
        <w:t xml:space="preserve">wned </w:t>
      </w:r>
      <w:r w:rsidR="00976ACC" w:rsidRPr="00891464">
        <w:rPr>
          <w:bCs w:val="0"/>
          <w:sz w:val="20"/>
        </w:rPr>
        <w:t>Enterprise</w:t>
      </w:r>
      <w:bookmarkEnd w:id="1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891464">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891464" w:rsidRDefault="00351CA6">
            <w:pPr>
              <w:spacing w:before="60" w:after="60"/>
              <w:ind w:left="72" w:right="72"/>
              <w:rPr>
                <w:rFonts w:ascii="Arial" w:eastAsia="Arial Unicode MS" w:hAnsi="Arial" w:cs="Arial"/>
                <w:sz w:val="20"/>
                <w:szCs w:val="20"/>
              </w:rPr>
            </w:pPr>
            <w:r w:rsidRPr="00891464">
              <w:rPr>
                <w:rFonts w:ascii="Arial" w:hAnsi="Arial" w:cs="Arial"/>
                <w:sz w:val="20"/>
                <w:szCs w:val="20"/>
              </w:rPr>
              <w:t>Bidder</w:t>
            </w:r>
            <w:r w:rsidR="004051AC" w:rsidRPr="00891464">
              <w:rPr>
                <w:rFonts w:ascii="Arial" w:hAnsi="Arial" w:cs="Arial"/>
                <w:sz w:val="20"/>
                <w:szCs w:val="20"/>
              </w:rPr>
              <w:t xml:space="preserve"> required to meet conditions of IT</w:t>
            </w:r>
            <w:r w:rsidR="005724E3" w:rsidRPr="00891464">
              <w:rPr>
                <w:rFonts w:ascii="Arial" w:hAnsi="Arial" w:cs="Arial"/>
                <w:sz w:val="20"/>
                <w:szCs w:val="20"/>
              </w:rPr>
              <w:t>B</w:t>
            </w:r>
            <w:r w:rsidR="004051AC" w:rsidRPr="00891464">
              <w:rPr>
                <w:rFonts w:ascii="Arial" w:hAnsi="Arial" w:cs="Arial"/>
                <w:sz w:val="20"/>
                <w:szCs w:val="20"/>
              </w:rPr>
              <w:t xml:space="preserve"> Sub</w:t>
            </w:r>
            <w:r w:rsidR="00AD5107" w:rsidRPr="00891464">
              <w:rPr>
                <w:rFonts w:ascii="Arial" w:hAnsi="Arial" w:cs="Arial"/>
                <w:sz w:val="20"/>
                <w:szCs w:val="20"/>
              </w:rPr>
              <w:t>c</w:t>
            </w:r>
            <w:r w:rsidR="004051AC" w:rsidRPr="00891464">
              <w:rPr>
                <w:rFonts w:ascii="Arial" w:hAnsi="Arial" w:cs="Arial"/>
                <w:sz w:val="20"/>
                <w:szCs w:val="20"/>
              </w:rPr>
              <w:t>lause 4.</w:t>
            </w:r>
            <w:r w:rsidR="0048251B" w:rsidRPr="00891464">
              <w:rPr>
                <w:rFonts w:ascii="Arial" w:hAnsi="Arial" w:cs="Arial"/>
                <w:sz w:val="20"/>
                <w:szCs w:val="20"/>
              </w:rPr>
              <w:t>5</w:t>
            </w:r>
            <w:r w:rsidR="004051AC" w:rsidRPr="0089146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6"/>
              </w:rPr>
            </w:pPr>
            <w:r w:rsidRPr="0089146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891464" w:rsidRDefault="00B605CD">
            <w:pPr>
              <w:spacing w:before="60" w:after="60"/>
              <w:ind w:left="72" w:right="72"/>
              <w:jc w:val="center"/>
              <w:rPr>
                <w:rFonts w:ascii="Arial" w:eastAsia="Arial Unicode MS" w:hAnsi="Arial" w:cs="Arial"/>
                <w:sz w:val="16"/>
                <w:szCs w:val="16"/>
              </w:rPr>
            </w:pPr>
            <w:r w:rsidRPr="00891464">
              <w:rPr>
                <w:rFonts w:ascii="Arial" w:hAnsi="Arial" w:cs="Arial"/>
                <w:sz w:val="16"/>
                <w:szCs w:val="16"/>
              </w:rPr>
              <w:t>Forms                  ELI -</w:t>
            </w:r>
            <w:proofErr w:type="gramStart"/>
            <w:r w:rsidRPr="00891464">
              <w:rPr>
                <w:rFonts w:ascii="Arial" w:hAnsi="Arial" w:cs="Arial"/>
                <w:sz w:val="16"/>
                <w:szCs w:val="16"/>
              </w:rPr>
              <w:t>1,  ELI</w:t>
            </w:r>
            <w:proofErr w:type="gramEnd"/>
            <w:r w:rsidRPr="00891464">
              <w:rPr>
                <w:rFonts w:ascii="Arial" w:hAnsi="Arial" w:cs="Arial"/>
                <w:sz w:val="16"/>
                <w:szCs w:val="16"/>
              </w:rPr>
              <w:t xml:space="preserve"> - </w:t>
            </w:r>
            <w:r w:rsidR="004051AC" w:rsidRPr="00891464">
              <w:rPr>
                <w:rFonts w:ascii="Arial" w:hAnsi="Arial" w:cs="Arial"/>
                <w:sz w:val="16"/>
                <w:szCs w:val="16"/>
              </w:rPr>
              <w:t>2 with attachments</w:t>
            </w:r>
          </w:p>
        </w:tc>
      </w:tr>
    </w:tbl>
    <w:p w:rsidR="004051AC" w:rsidRPr="00891464" w:rsidRDefault="004051AC">
      <w:pPr>
        <w:pStyle w:val="i"/>
        <w:suppressAutoHyphens w:val="0"/>
        <w:rPr>
          <w:rFonts w:ascii="Arial" w:hAnsi="Arial" w:cs="Arial"/>
          <w:sz w:val="16"/>
        </w:rPr>
      </w:pPr>
    </w:p>
    <w:p w:rsidR="009C689D" w:rsidRPr="00891464" w:rsidRDefault="009C689D" w:rsidP="009C689D">
      <w:pPr>
        <w:pStyle w:val="Heading1"/>
        <w:ind w:left="900" w:hanging="648"/>
        <w:rPr>
          <w:bCs w:val="0"/>
          <w:sz w:val="20"/>
        </w:rPr>
      </w:pPr>
      <w:r w:rsidRPr="00891464">
        <w:rPr>
          <w:bCs w:val="0"/>
          <w:sz w:val="20"/>
        </w:rPr>
        <w:t>2.1.5</w:t>
      </w:r>
      <w:r w:rsidRPr="00891464">
        <w:rPr>
          <w:bCs w:val="0"/>
          <w:sz w:val="20"/>
        </w:rPr>
        <w:tab/>
      </w:r>
      <w:r w:rsidR="006C20B2" w:rsidRPr="00891464">
        <w:rPr>
          <w:bCs w:val="0"/>
          <w:sz w:val="20"/>
        </w:rPr>
        <w:t>U</w:t>
      </w:r>
      <w:r w:rsidR="000E75F4" w:rsidRPr="00891464">
        <w:rPr>
          <w:bCs w:val="0"/>
          <w:sz w:val="20"/>
        </w:rPr>
        <w:t xml:space="preserve">nited </w:t>
      </w:r>
      <w:r w:rsidR="006C20B2" w:rsidRPr="00891464">
        <w:rPr>
          <w:bCs w:val="0"/>
          <w:sz w:val="20"/>
        </w:rPr>
        <w:t>N</w:t>
      </w:r>
      <w:r w:rsidR="000E75F4" w:rsidRPr="00891464">
        <w:rPr>
          <w:bCs w:val="0"/>
          <w:sz w:val="20"/>
        </w:rPr>
        <w:t>ations</w:t>
      </w:r>
      <w:r w:rsidRPr="00891464">
        <w:rPr>
          <w:bCs w:val="0"/>
          <w:sz w:val="20"/>
        </w:rPr>
        <w:t xml:space="preserve">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C689D" w:rsidRPr="00891464">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9C689D" w:rsidRPr="00891464" w:rsidRDefault="009C689D">
            <w:pPr>
              <w:spacing w:before="60" w:after="60"/>
              <w:ind w:left="72" w:right="72"/>
              <w:rPr>
                <w:rFonts w:ascii="Arial" w:eastAsia="Arial Unicode MS" w:hAnsi="Arial" w:cs="Arial"/>
                <w:sz w:val="20"/>
                <w:szCs w:val="20"/>
              </w:rPr>
            </w:pPr>
            <w:r w:rsidRPr="00891464">
              <w:rPr>
                <w:rFonts w:ascii="Arial" w:hAnsi="Arial" w:cs="Arial"/>
                <w:sz w:val="20"/>
                <w:szCs w:val="20"/>
              </w:rPr>
              <w:t>Not having been</w:t>
            </w:r>
            <w:r w:rsidR="00C64720" w:rsidRPr="00891464">
              <w:rPr>
                <w:rFonts w:ascii="Arial" w:hAnsi="Arial" w:cs="Arial"/>
                <w:sz w:val="20"/>
                <w:szCs w:val="20"/>
              </w:rPr>
              <w:t xml:space="preserve"> excluded by an act of compliance </w:t>
            </w:r>
            <w:proofErr w:type="spellStart"/>
            <w:r w:rsidR="00C64720" w:rsidRPr="00891464">
              <w:rPr>
                <w:rFonts w:ascii="Arial" w:hAnsi="Arial" w:cs="Arial"/>
                <w:sz w:val="20"/>
                <w:szCs w:val="20"/>
              </w:rPr>
              <w:t>with</w:t>
            </w:r>
            <w:r w:rsidR="00F22B0B" w:rsidRPr="00891464">
              <w:rPr>
                <w:rFonts w:ascii="Arial" w:hAnsi="Arial" w:cs="Arial"/>
                <w:sz w:val="20"/>
                <w:szCs w:val="20"/>
              </w:rPr>
              <w:t>a</w:t>
            </w:r>
            <w:proofErr w:type="spellEnd"/>
            <w:r w:rsidR="00F22B0B" w:rsidRPr="00891464">
              <w:rPr>
                <w:rFonts w:ascii="Arial" w:hAnsi="Arial" w:cs="Arial"/>
                <w:sz w:val="20"/>
                <w:szCs w:val="20"/>
              </w:rPr>
              <w:t xml:space="preserve"> </w:t>
            </w:r>
            <w:r w:rsidRPr="00891464">
              <w:rPr>
                <w:rFonts w:ascii="Arial" w:hAnsi="Arial" w:cs="Arial"/>
                <w:sz w:val="20"/>
                <w:szCs w:val="20"/>
              </w:rPr>
              <w:t>U</w:t>
            </w:r>
            <w:r w:rsidR="00C64720" w:rsidRPr="00891464">
              <w:rPr>
                <w:rFonts w:ascii="Arial" w:hAnsi="Arial" w:cs="Arial"/>
                <w:sz w:val="20"/>
                <w:szCs w:val="20"/>
              </w:rPr>
              <w:t>N Security Council</w:t>
            </w:r>
            <w:r w:rsidRPr="00891464">
              <w:rPr>
                <w:rFonts w:ascii="Arial" w:hAnsi="Arial" w:cs="Arial"/>
                <w:sz w:val="20"/>
                <w:szCs w:val="20"/>
              </w:rPr>
              <w:t xml:space="preserve"> resolution in</w:t>
            </w:r>
            <w:r w:rsidR="00AD5107" w:rsidRPr="00891464">
              <w:rPr>
                <w:rFonts w:ascii="Arial" w:hAnsi="Arial" w:cs="Arial"/>
                <w:sz w:val="20"/>
                <w:szCs w:val="20"/>
              </w:rPr>
              <w:t xml:space="preserve"> accordance with</w:t>
            </w:r>
            <w:r w:rsidRPr="00891464">
              <w:rPr>
                <w:rFonts w:ascii="Arial" w:hAnsi="Arial" w:cs="Arial"/>
                <w:sz w:val="20"/>
                <w:szCs w:val="20"/>
              </w:rPr>
              <w:t xml:space="preserve"> ITB Sub</w:t>
            </w:r>
            <w:r w:rsidR="00AD5107" w:rsidRPr="00891464">
              <w:rPr>
                <w:rFonts w:ascii="Arial" w:hAnsi="Arial" w:cs="Arial"/>
                <w:sz w:val="20"/>
                <w:szCs w:val="20"/>
              </w:rPr>
              <w:t>c</w:t>
            </w:r>
            <w:r w:rsidRPr="00891464">
              <w:rPr>
                <w:rFonts w:ascii="Arial" w:hAnsi="Arial" w:cs="Arial"/>
                <w:sz w:val="20"/>
                <w:szCs w:val="20"/>
              </w:rPr>
              <w:t>lause 4.</w:t>
            </w:r>
            <w:r w:rsidR="00C64720" w:rsidRPr="00891464">
              <w:rPr>
                <w:rFonts w:ascii="Arial" w:hAnsi="Arial" w:cs="Arial"/>
                <w:sz w:val="20"/>
                <w:szCs w:val="20"/>
              </w:rPr>
              <w:t>7</w:t>
            </w:r>
            <w:r w:rsidRPr="00891464">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9C689D" w:rsidRPr="00891464" w:rsidRDefault="009C689D" w:rsidP="008458C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Pr="00891464" w:rsidRDefault="009C689D" w:rsidP="008458C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Pr="00891464" w:rsidRDefault="009C689D" w:rsidP="008458CC">
            <w:pPr>
              <w:spacing w:before="60" w:after="60"/>
              <w:ind w:left="72" w:right="72"/>
              <w:jc w:val="center"/>
              <w:rPr>
                <w:rFonts w:ascii="Arial" w:eastAsia="Arial Unicode MS" w:hAnsi="Arial" w:cs="Arial"/>
                <w:sz w:val="16"/>
                <w:szCs w:val="16"/>
              </w:rPr>
            </w:pPr>
            <w:r w:rsidRPr="00891464">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9C689D" w:rsidRPr="00891464" w:rsidRDefault="009C689D" w:rsidP="008458CC">
            <w:pPr>
              <w:spacing w:before="60" w:after="60"/>
              <w:ind w:left="72" w:right="72"/>
              <w:jc w:val="center"/>
              <w:rPr>
                <w:rFonts w:ascii="Arial" w:eastAsia="Arial Unicode MS" w:hAnsi="Arial" w:cs="Arial"/>
                <w:sz w:val="16"/>
                <w:szCs w:val="16"/>
              </w:rPr>
            </w:pPr>
            <w:r w:rsidRPr="0089146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9C689D" w:rsidRPr="00891464" w:rsidRDefault="006C20B2" w:rsidP="008458CC">
            <w:pPr>
              <w:spacing w:before="60" w:after="60"/>
              <w:ind w:left="72" w:right="72"/>
              <w:jc w:val="center"/>
              <w:rPr>
                <w:rFonts w:ascii="Arial" w:eastAsia="Arial Unicode MS" w:hAnsi="Arial" w:cs="Arial"/>
                <w:sz w:val="16"/>
                <w:szCs w:val="16"/>
              </w:rPr>
            </w:pPr>
            <w:r w:rsidRPr="00891464">
              <w:rPr>
                <w:rFonts w:ascii="Arial" w:hAnsi="Arial" w:cs="Arial"/>
                <w:sz w:val="16"/>
                <w:szCs w:val="16"/>
              </w:rPr>
              <w:t xml:space="preserve">Letter of </w:t>
            </w:r>
            <w:r w:rsidR="00B17F8E" w:rsidRPr="00891464">
              <w:rPr>
                <w:rFonts w:ascii="Arial" w:hAnsi="Arial" w:cs="Arial"/>
                <w:sz w:val="16"/>
                <w:szCs w:val="16"/>
              </w:rPr>
              <w:t xml:space="preserve">Technical </w:t>
            </w:r>
            <w:r w:rsidRPr="00891464">
              <w:rPr>
                <w:rFonts w:ascii="Arial" w:hAnsi="Arial" w:cs="Arial"/>
                <w:sz w:val="16"/>
                <w:szCs w:val="16"/>
              </w:rPr>
              <w:t>Bid</w:t>
            </w:r>
          </w:p>
        </w:tc>
      </w:tr>
    </w:tbl>
    <w:p w:rsidR="009C689D" w:rsidRPr="00891464" w:rsidRDefault="009C689D" w:rsidP="009C689D">
      <w:pPr>
        <w:pStyle w:val="Heading1"/>
        <w:ind w:left="900" w:hanging="648"/>
        <w:rPr>
          <w:rFonts w:eastAsia="Arial Unicode MS"/>
          <w:b w:val="0"/>
          <w:bCs w:val="0"/>
          <w:sz w:val="20"/>
        </w:rPr>
      </w:pPr>
    </w:p>
    <w:p w:rsidR="004051AC" w:rsidRPr="00891464" w:rsidRDefault="004051AC">
      <w:pPr>
        <w:pStyle w:val="i"/>
        <w:suppressAutoHyphens w:val="0"/>
        <w:rPr>
          <w:rFonts w:ascii="Arial" w:hAnsi="Arial" w:cs="Arial"/>
          <w:sz w:val="16"/>
        </w:rPr>
      </w:pPr>
      <w:r w:rsidRPr="00891464">
        <w:rPr>
          <w:rFonts w:ascii="Arial" w:hAnsi="Arial" w:cs="Arial"/>
          <w:sz w:val="16"/>
        </w:rPr>
        <w:br w:type="page"/>
      </w:r>
    </w:p>
    <w:p w:rsidR="004051AC" w:rsidRPr="00891464" w:rsidRDefault="004051AC">
      <w:pPr>
        <w:pStyle w:val="Heading1"/>
        <w:spacing w:before="360" w:after="120"/>
        <w:ind w:left="900" w:hanging="648"/>
        <w:rPr>
          <w:rFonts w:cs="Times New Roman"/>
          <w:bCs w:val="0"/>
          <w:noProof/>
          <w:kern w:val="0"/>
          <w:sz w:val="24"/>
          <w:szCs w:val="24"/>
        </w:rPr>
      </w:pPr>
      <w:bookmarkStart w:id="17" w:name="_Toc103401428"/>
      <w:r w:rsidRPr="00891464">
        <w:rPr>
          <w:rFonts w:cs="Times New Roman"/>
          <w:bCs w:val="0"/>
          <w:noProof/>
          <w:kern w:val="0"/>
          <w:sz w:val="24"/>
          <w:szCs w:val="24"/>
        </w:rPr>
        <w:lastRenderedPageBreak/>
        <w:t>2.2</w:t>
      </w:r>
      <w:r w:rsidRPr="00891464">
        <w:rPr>
          <w:rFonts w:cs="Times New Roman"/>
          <w:bCs w:val="0"/>
          <w:noProof/>
          <w:kern w:val="0"/>
          <w:sz w:val="24"/>
          <w:szCs w:val="24"/>
        </w:rPr>
        <w:tab/>
        <w:t>Pending Litigation</w:t>
      </w:r>
      <w:bookmarkEnd w:id="17"/>
    </w:p>
    <w:p w:rsidR="000450B9" w:rsidRPr="00891464" w:rsidRDefault="000450B9" w:rsidP="00F77ACE">
      <w:pPr>
        <w:spacing w:after="120"/>
        <w:ind w:left="252"/>
        <w:rPr>
          <w:rFonts w:ascii="Arial" w:eastAsia="Arial Unicode MS" w:hAnsi="Arial" w:cs="Arial"/>
          <w:bCs/>
          <w:sz w:val="20"/>
          <w:szCs w:val="20"/>
        </w:rPr>
      </w:pPr>
    </w:p>
    <w:p w:rsidR="00F77ACE" w:rsidRPr="00891464" w:rsidRDefault="00B9279F" w:rsidP="00B03E9E">
      <w:pPr>
        <w:spacing w:after="120"/>
        <w:ind w:left="720" w:firstLine="180"/>
        <w:rPr>
          <w:rFonts w:ascii="Arial" w:eastAsia="Arial Unicode MS" w:hAnsi="Arial" w:cs="Arial"/>
          <w:bCs/>
          <w:sz w:val="20"/>
          <w:szCs w:val="20"/>
        </w:rPr>
      </w:pPr>
      <w:r w:rsidRPr="00891464">
        <w:rPr>
          <w:rFonts w:ascii="Arial" w:eastAsia="Arial Unicode MS" w:hAnsi="Arial" w:cs="Arial"/>
          <w:bCs/>
          <w:sz w:val="20"/>
          <w:szCs w:val="20"/>
        </w:rPr>
        <w:t>Pending litigation and arbitration criterion shall not apply.</w:t>
      </w:r>
    </w:p>
    <w:p w:rsidR="009452AF" w:rsidRPr="00891464" w:rsidRDefault="009452AF">
      <w:pPr>
        <w:pStyle w:val="Heading1"/>
        <w:spacing w:before="360" w:after="120"/>
        <w:ind w:left="900" w:hanging="648"/>
        <w:rPr>
          <w:rFonts w:cs="Times New Roman"/>
          <w:bCs w:val="0"/>
          <w:noProof/>
          <w:kern w:val="0"/>
          <w:sz w:val="24"/>
          <w:szCs w:val="24"/>
        </w:rPr>
      </w:pPr>
      <w:bookmarkStart w:id="18" w:name="_Toc103401430"/>
    </w:p>
    <w:p w:rsidR="004051AC" w:rsidRPr="00891464" w:rsidRDefault="004051AC">
      <w:pPr>
        <w:pStyle w:val="Heading1"/>
        <w:spacing w:before="360" w:after="120"/>
        <w:ind w:left="900" w:hanging="648"/>
        <w:rPr>
          <w:rFonts w:cs="Times New Roman"/>
          <w:bCs w:val="0"/>
          <w:noProof/>
          <w:kern w:val="0"/>
          <w:sz w:val="24"/>
          <w:szCs w:val="24"/>
        </w:rPr>
      </w:pPr>
      <w:r w:rsidRPr="00891464">
        <w:rPr>
          <w:rFonts w:cs="Times New Roman"/>
          <w:bCs w:val="0"/>
          <w:noProof/>
          <w:kern w:val="0"/>
          <w:sz w:val="24"/>
          <w:szCs w:val="24"/>
        </w:rPr>
        <w:t xml:space="preserve">2.3 </w:t>
      </w:r>
      <w:r w:rsidRPr="00891464">
        <w:rPr>
          <w:rFonts w:cs="Times New Roman"/>
          <w:bCs w:val="0"/>
          <w:noProof/>
          <w:kern w:val="0"/>
          <w:sz w:val="24"/>
          <w:szCs w:val="24"/>
        </w:rPr>
        <w:tab/>
        <w:t xml:space="preserve">Financial </w:t>
      </w:r>
      <w:r w:rsidR="008050CB" w:rsidRPr="00891464">
        <w:rPr>
          <w:rFonts w:cs="Times New Roman"/>
          <w:bCs w:val="0"/>
          <w:noProof/>
          <w:kern w:val="0"/>
          <w:sz w:val="24"/>
          <w:szCs w:val="24"/>
        </w:rPr>
        <w:t>Situation</w:t>
      </w:r>
      <w:bookmarkEnd w:id="18"/>
    </w:p>
    <w:p w:rsidR="004051AC" w:rsidRPr="00891464" w:rsidRDefault="004051AC">
      <w:pPr>
        <w:rPr>
          <w:rFonts w:ascii="Arial" w:eastAsia="Arial Unicode MS" w:hAnsi="Arial" w:cs="Arial"/>
          <w:b/>
          <w:bCs/>
          <w:sz w:val="16"/>
          <w:szCs w:val="28"/>
        </w:rPr>
      </w:pPr>
    </w:p>
    <w:p w:rsidR="00F43512" w:rsidRPr="00891464" w:rsidRDefault="00F43512" w:rsidP="00F43512">
      <w:pPr>
        <w:pStyle w:val="Heading1"/>
        <w:ind w:left="900" w:hanging="648"/>
        <w:rPr>
          <w:bCs w:val="0"/>
          <w:sz w:val="20"/>
        </w:rPr>
      </w:pPr>
      <w:r w:rsidRPr="00891464">
        <w:rPr>
          <w:bCs w:val="0"/>
          <w:sz w:val="20"/>
        </w:rPr>
        <w:t>2.3.1</w:t>
      </w:r>
      <w:r w:rsidRPr="00891464">
        <w:rPr>
          <w:bCs w:val="0"/>
          <w:sz w:val="20"/>
        </w:rPr>
        <w:tab/>
        <w:t>Historical Financial Performance</w:t>
      </w:r>
    </w:p>
    <w:p w:rsidR="00F43512" w:rsidRPr="00891464" w:rsidRDefault="00F43512">
      <w:pPr>
        <w:rPr>
          <w:rFonts w:ascii="Arial" w:eastAsia="Arial Unicode MS" w:hAnsi="Arial" w:cs="Arial"/>
          <w:b/>
          <w:bCs/>
          <w:sz w:val="16"/>
          <w:szCs w:val="28"/>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891464">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Documents</w:t>
            </w:r>
          </w:p>
        </w:tc>
      </w:tr>
      <w:tr w:rsidR="004051AC" w:rsidRPr="00891464">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Submission Requirements</w:t>
            </w:r>
          </w:p>
        </w:tc>
      </w:tr>
      <w:tr w:rsidR="004051AC" w:rsidRPr="00891464"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4051AC" w:rsidRPr="00891464"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4051AC" w:rsidRPr="00891464"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4051AC" w:rsidRPr="00891464" w:rsidRDefault="004051AC">
            <w:pPr>
              <w:rPr>
                <w:rFonts w:ascii="Arial" w:eastAsia="Arial Unicode MS" w:hAnsi="Arial" w:cs="Arial"/>
                <w:b/>
                <w:bCs/>
                <w:sz w:val="16"/>
              </w:rPr>
            </w:pPr>
          </w:p>
        </w:tc>
      </w:tr>
      <w:tr w:rsidR="004051AC" w:rsidRPr="00891464"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891464" w:rsidRDefault="004051AC" w:rsidP="00B92AD9">
            <w:pPr>
              <w:spacing w:before="60" w:after="60"/>
              <w:ind w:left="72" w:right="72"/>
              <w:rPr>
                <w:rFonts w:ascii="Arial" w:eastAsia="Arial Unicode MS" w:hAnsi="Arial" w:cs="Arial"/>
                <w:sz w:val="16"/>
                <w:szCs w:val="18"/>
              </w:rPr>
            </w:pPr>
            <w:r w:rsidRPr="00891464">
              <w:rPr>
                <w:rFonts w:ascii="Arial" w:hAnsi="Arial" w:cs="Arial"/>
                <w:sz w:val="20"/>
                <w:szCs w:val="20"/>
              </w:rPr>
              <w:t xml:space="preserve">Submission of audited </w:t>
            </w:r>
            <w:r w:rsidR="00EF59A0" w:rsidRPr="00891464">
              <w:rPr>
                <w:rFonts w:ascii="Arial" w:hAnsi="Arial" w:cs="Arial"/>
                <w:sz w:val="20"/>
                <w:szCs w:val="20"/>
              </w:rPr>
              <w:t>financial</w:t>
            </w:r>
            <w:r w:rsidR="00E32580" w:rsidRPr="00891464">
              <w:rPr>
                <w:rFonts w:ascii="Arial" w:hAnsi="Arial" w:cs="Arial"/>
                <w:sz w:val="20"/>
                <w:szCs w:val="20"/>
              </w:rPr>
              <w:t xml:space="preserve"> statements </w:t>
            </w:r>
            <w:r w:rsidRPr="00891464">
              <w:rPr>
                <w:rFonts w:ascii="Arial" w:hAnsi="Arial" w:cs="Arial"/>
                <w:sz w:val="20"/>
                <w:szCs w:val="20"/>
              </w:rPr>
              <w:t xml:space="preserve">or, if not required by the law of the </w:t>
            </w:r>
            <w:r w:rsidR="00EF59A0" w:rsidRPr="00891464">
              <w:rPr>
                <w:rFonts w:ascii="Arial" w:hAnsi="Arial" w:cs="Arial"/>
                <w:sz w:val="20"/>
                <w:szCs w:val="20"/>
              </w:rPr>
              <w:t xml:space="preserve">Bidder’s </w:t>
            </w:r>
            <w:r w:rsidRPr="00891464">
              <w:rPr>
                <w:rFonts w:ascii="Arial" w:hAnsi="Arial" w:cs="Arial"/>
                <w:sz w:val="20"/>
                <w:szCs w:val="20"/>
              </w:rPr>
              <w:t>country, other financial statements acceptable to the Employer, for the last</w:t>
            </w:r>
            <w:r w:rsidR="00B92AD9" w:rsidRPr="00891464">
              <w:rPr>
                <w:rFonts w:ascii="Arial" w:hAnsi="Arial" w:cs="Arial"/>
                <w:sz w:val="20"/>
                <w:szCs w:val="20"/>
              </w:rPr>
              <w:t xml:space="preserve"> </w:t>
            </w:r>
            <w:r w:rsidR="00B92AD9" w:rsidRPr="00891464">
              <w:rPr>
                <w:rFonts w:ascii="Arial" w:hAnsi="Arial" w:cs="Arial"/>
                <w:b/>
                <w:i/>
                <w:sz w:val="20"/>
                <w:szCs w:val="20"/>
              </w:rPr>
              <w:t>three (3)</w:t>
            </w:r>
            <w:r w:rsidR="00B92AD9" w:rsidRPr="00891464">
              <w:rPr>
                <w:rFonts w:ascii="Arial" w:hAnsi="Arial" w:cs="Arial"/>
                <w:sz w:val="20"/>
                <w:szCs w:val="20"/>
              </w:rPr>
              <w:t xml:space="preserve"> </w:t>
            </w:r>
            <w:r w:rsidRPr="00891464">
              <w:rPr>
                <w:rFonts w:ascii="Arial" w:hAnsi="Arial" w:cs="Arial"/>
                <w:sz w:val="20"/>
                <w:szCs w:val="20"/>
              </w:rPr>
              <w:t xml:space="preserve">years to demonstrate the current soundness of the </w:t>
            </w:r>
            <w:r w:rsidR="004A3FF6" w:rsidRPr="00891464">
              <w:rPr>
                <w:rFonts w:ascii="Arial" w:hAnsi="Arial" w:cs="Arial"/>
                <w:sz w:val="20"/>
                <w:szCs w:val="20"/>
              </w:rPr>
              <w:t>Bidder’s</w:t>
            </w:r>
            <w:r w:rsidR="00132020" w:rsidRPr="00891464">
              <w:rPr>
                <w:rFonts w:ascii="Arial" w:hAnsi="Arial" w:cs="Arial"/>
                <w:sz w:val="20"/>
                <w:szCs w:val="20"/>
              </w:rPr>
              <w:t xml:space="preserve"> financial position</w:t>
            </w:r>
            <w:r w:rsidRPr="00891464">
              <w:rPr>
                <w:rFonts w:ascii="Arial" w:hAnsi="Arial" w:cs="Arial"/>
                <w:sz w:val="20"/>
                <w:szCs w:val="20"/>
              </w:rPr>
              <w:t>.</w:t>
            </w:r>
            <w:r w:rsidR="004A3FF6" w:rsidRPr="00891464">
              <w:rPr>
                <w:rFonts w:ascii="Arial" w:hAnsi="Arial" w:cs="Arial"/>
                <w:sz w:val="20"/>
                <w:szCs w:val="20"/>
              </w:rPr>
              <w:t xml:space="preserve"> </w:t>
            </w:r>
            <w:r w:rsidR="00CE2B60" w:rsidRPr="00891464">
              <w:rPr>
                <w:rFonts w:ascii="Arial" w:hAnsi="Arial" w:cs="Arial"/>
                <w:sz w:val="20"/>
                <w:szCs w:val="20"/>
              </w:rPr>
              <w:t xml:space="preserve">As a minimum, </w:t>
            </w:r>
            <w:r w:rsidR="00166BC7" w:rsidRPr="00891464">
              <w:rPr>
                <w:rFonts w:ascii="Arial" w:hAnsi="Arial" w:cs="Arial"/>
                <w:sz w:val="20"/>
                <w:szCs w:val="20"/>
              </w:rPr>
              <w:t>the</w:t>
            </w:r>
            <w:r w:rsidR="00CE2B60" w:rsidRPr="00891464">
              <w:rPr>
                <w:rFonts w:ascii="Arial" w:hAnsi="Arial" w:cs="Arial"/>
                <w:sz w:val="20"/>
                <w:szCs w:val="20"/>
              </w:rPr>
              <w:t xml:space="preserve"> Bidder's net worth</w:t>
            </w:r>
            <w:r w:rsidR="00166BC7" w:rsidRPr="00891464">
              <w:rPr>
                <w:rFonts w:ascii="Arial" w:hAnsi="Arial" w:cs="Arial"/>
                <w:sz w:val="20"/>
                <w:szCs w:val="20"/>
              </w:rPr>
              <w:t xml:space="preserve"> for the last year,</w:t>
            </w:r>
            <w:r w:rsidR="00CE2B60" w:rsidRPr="00891464">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891464" w:rsidRDefault="00B605CD">
            <w:pPr>
              <w:spacing w:before="60" w:after="60"/>
              <w:ind w:left="72" w:right="72"/>
              <w:jc w:val="center"/>
              <w:rPr>
                <w:rFonts w:ascii="Arial" w:eastAsia="Arial Unicode MS" w:hAnsi="Arial" w:cs="Arial"/>
                <w:sz w:val="16"/>
                <w:szCs w:val="18"/>
              </w:rPr>
            </w:pPr>
            <w:r w:rsidRPr="00891464">
              <w:rPr>
                <w:rFonts w:ascii="Arial" w:hAnsi="Arial" w:cs="Arial"/>
                <w:sz w:val="16"/>
                <w:szCs w:val="18"/>
              </w:rPr>
              <w:t xml:space="preserve">Form FIN - </w:t>
            </w:r>
            <w:r w:rsidR="004051AC" w:rsidRPr="00891464">
              <w:rPr>
                <w:rFonts w:ascii="Arial" w:hAnsi="Arial" w:cs="Arial"/>
                <w:sz w:val="16"/>
                <w:szCs w:val="18"/>
              </w:rPr>
              <w:t>1    with attachments</w:t>
            </w:r>
          </w:p>
        </w:tc>
      </w:tr>
    </w:tbl>
    <w:p w:rsidR="004051AC" w:rsidRPr="00891464" w:rsidRDefault="004051AC">
      <w:pPr>
        <w:rPr>
          <w:rFonts w:ascii="Arial" w:eastAsia="Arial Unicode MS" w:hAnsi="Arial" w:cs="Arial"/>
          <w:b/>
          <w:bCs/>
          <w:sz w:val="16"/>
          <w:szCs w:val="28"/>
        </w:rPr>
      </w:pPr>
    </w:p>
    <w:p w:rsidR="00132020" w:rsidRPr="00891464" w:rsidRDefault="00132020" w:rsidP="00132020">
      <w:pPr>
        <w:ind w:left="360"/>
        <w:jc w:val="both"/>
        <w:rPr>
          <w:rFonts w:ascii="Arial" w:eastAsia="Arial Unicode MS" w:hAnsi="Arial" w:cs="Arial"/>
          <w:b/>
          <w:bCs/>
          <w:sz w:val="20"/>
          <w:szCs w:val="20"/>
        </w:rPr>
      </w:pPr>
    </w:p>
    <w:p w:rsidR="004051AC" w:rsidRPr="00891464" w:rsidRDefault="004051AC">
      <w:pPr>
        <w:pStyle w:val="Heading1"/>
        <w:ind w:left="900" w:hanging="648"/>
        <w:rPr>
          <w:bCs w:val="0"/>
          <w:sz w:val="20"/>
        </w:rPr>
      </w:pPr>
      <w:bookmarkStart w:id="19" w:name="_Toc103401432"/>
      <w:r w:rsidRPr="00891464">
        <w:rPr>
          <w:bCs w:val="0"/>
          <w:sz w:val="20"/>
        </w:rPr>
        <w:t>2.3.2</w:t>
      </w:r>
      <w:r w:rsidRPr="00891464">
        <w:rPr>
          <w:bCs w:val="0"/>
          <w:sz w:val="20"/>
        </w:rPr>
        <w:tab/>
        <w:t>Average Annual Construction Turnover</w:t>
      </w:r>
      <w:bookmarkEnd w:id="19"/>
    </w:p>
    <w:p w:rsidR="003418E9" w:rsidRPr="00891464" w:rsidRDefault="003418E9" w:rsidP="003418E9"/>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3418E9" w:rsidRPr="00891464"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color w:val="FFFFFF"/>
                <w:sz w:val="16"/>
              </w:rPr>
            </w:pPr>
            <w:r w:rsidRPr="0089146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color w:val="FFFFFF"/>
                <w:sz w:val="16"/>
              </w:rPr>
            </w:pPr>
            <w:r w:rsidRPr="0089146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color w:val="FFFFFF"/>
                <w:sz w:val="16"/>
              </w:rPr>
            </w:pPr>
            <w:r w:rsidRPr="00891464">
              <w:rPr>
                <w:rFonts w:ascii="Arial" w:hAnsi="Arial" w:cs="Arial"/>
                <w:b/>
                <w:bCs/>
                <w:color w:val="FFFFFF"/>
                <w:sz w:val="16"/>
              </w:rPr>
              <w:t>Documents</w:t>
            </w:r>
          </w:p>
        </w:tc>
      </w:tr>
      <w:tr w:rsidR="003418E9" w:rsidRPr="00891464"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sz w:val="16"/>
              </w:rPr>
            </w:pPr>
            <w:r w:rsidRPr="00891464">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sz w:val="16"/>
              </w:rPr>
            </w:pPr>
            <w:r w:rsidRPr="0089146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sz w:val="16"/>
              </w:rPr>
            </w:pPr>
            <w:r w:rsidRPr="00891464">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sz w:val="16"/>
              </w:rPr>
            </w:pPr>
            <w:r w:rsidRPr="00891464">
              <w:rPr>
                <w:rFonts w:ascii="Arial" w:hAnsi="Arial" w:cs="Arial"/>
                <w:b/>
                <w:bCs/>
                <w:sz w:val="16"/>
              </w:rPr>
              <w:t>Submission Requirements</w:t>
            </w:r>
          </w:p>
        </w:tc>
      </w:tr>
      <w:tr w:rsidR="003418E9" w:rsidRPr="00891464"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3418E9" w:rsidRPr="00891464"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3418E9" w:rsidRPr="00891464"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sz w:val="16"/>
                <w:szCs w:val="16"/>
              </w:rPr>
            </w:pPr>
            <w:r w:rsidRPr="00891464">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sz w:val="16"/>
                <w:szCs w:val="16"/>
              </w:rPr>
            </w:pPr>
            <w:r w:rsidRPr="00891464">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3418E9" w:rsidRPr="00891464" w:rsidRDefault="003418E9" w:rsidP="00321B53">
            <w:pPr>
              <w:jc w:val="center"/>
              <w:rPr>
                <w:rFonts w:ascii="Arial" w:eastAsia="Arial Unicode MS" w:hAnsi="Arial" w:cs="Arial"/>
                <w:b/>
                <w:bCs/>
                <w:sz w:val="16"/>
                <w:szCs w:val="16"/>
              </w:rPr>
            </w:pPr>
            <w:r w:rsidRPr="00891464">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3418E9" w:rsidRPr="00891464" w:rsidRDefault="003418E9" w:rsidP="00321B53">
            <w:pPr>
              <w:rPr>
                <w:rFonts w:ascii="Arial" w:eastAsia="Arial Unicode MS" w:hAnsi="Arial" w:cs="Arial"/>
                <w:b/>
                <w:bCs/>
                <w:sz w:val="16"/>
              </w:rPr>
            </w:pPr>
          </w:p>
        </w:tc>
      </w:tr>
      <w:tr w:rsidR="004051AC" w:rsidRPr="00891464"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891464" w:rsidRDefault="00132020" w:rsidP="00B5796A">
            <w:pPr>
              <w:spacing w:before="60" w:after="60"/>
              <w:ind w:left="72" w:right="72"/>
              <w:rPr>
                <w:rFonts w:ascii="Arial" w:hAnsi="Arial" w:cs="Arial"/>
                <w:b/>
                <w:sz w:val="20"/>
                <w:szCs w:val="20"/>
              </w:rPr>
            </w:pPr>
            <w:r w:rsidRPr="00891464">
              <w:rPr>
                <w:rFonts w:ascii="Arial" w:hAnsi="Arial" w:cs="Arial"/>
                <w:sz w:val="20"/>
                <w:szCs w:val="20"/>
              </w:rPr>
              <w:t xml:space="preserve">Minimum average annual construction turnover of </w:t>
            </w:r>
            <w:r w:rsidR="00EA1832" w:rsidRPr="00891464">
              <w:rPr>
                <w:rFonts w:ascii="Arial" w:hAnsi="Arial" w:cs="Arial"/>
                <w:b/>
                <w:sz w:val="20"/>
                <w:szCs w:val="20"/>
              </w:rPr>
              <w:t>INR</w:t>
            </w:r>
            <w:r w:rsidR="00EE3B93" w:rsidRPr="00891464">
              <w:rPr>
                <w:rFonts w:ascii="Arial" w:hAnsi="Arial" w:cs="Arial"/>
                <w:b/>
                <w:sz w:val="20"/>
                <w:szCs w:val="20"/>
              </w:rPr>
              <w:t xml:space="preserve"> </w:t>
            </w:r>
            <w:r w:rsidR="00400218" w:rsidRPr="00891464">
              <w:rPr>
                <w:rFonts w:ascii="Arial" w:hAnsi="Arial" w:cs="Arial"/>
                <w:b/>
                <w:sz w:val="20"/>
                <w:szCs w:val="20"/>
              </w:rPr>
              <w:t>14</w:t>
            </w:r>
            <w:r w:rsidR="00226C98" w:rsidRPr="00891464">
              <w:rPr>
                <w:rFonts w:ascii="Arial" w:hAnsi="Arial" w:cs="Arial"/>
                <w:b/>
                <w:sz w:val="20"/>
                <w:szCs w:val="20"/>
              </w:rPr>
              <w:t xml:space="preserve"> </w:t>
            </w:r>
            <w:r w:rsidR="009452AF" w:rsidRPr="00891464">
              <w:rPr>
                <w:rFonts w:ascii="Arial" w:hAnsi="Arial" w:cs="Arial"/>
                <w:b/>
                <w:sz w:val="20"/>
                <w:szCs w:val="20"/>
              </w:rPr>
              <w:t>million</w:t>
            </w:r>
            <w:r w:rsidRPr="00891464">
              <w:rPr>
                <w:rFonts w:cs="Arial"/>
                <w:b/>
                <w:i/>
                <w:iCs/>
                <w:szCs w:val="18"/>
              </w:rPr>
              <w:t>,</w:t>
            </w:r>
            <w:r w:rsidR="009452AF" w:rsidRPr="00891464">
              <w:rPr>
                <w:rFonts w:cs="Arial"/>
                <w:b/>
                <w:i/>
                <w:iCs/>
                <w:szCs w:val="18"/>
              </w:rPr>
              <w:t xml:space="preserve"> </w:t>
            </w:r>
            <w:r w:rsidRPr="00891464">
              <w:rPr>
                <w:rFonts w:ascii="Arial" w:hAnsi="Arial" w:cs="Arial"/>
                <w:sz w:val="20"/>
                <w:szCs w:val="20"/>
              </w:rPr>
              <w:t>calculated as total certified</w:t>
            </w:r>
            <w:r w:rsidR="0070477E" w:rsidRPr="00891464">
              <w:rPr>
                <w:rFonts w:ascii="Arial" w:hAnsi="Arial" w:cs="Arial"/>
                <w:sz w:val="20"/>
                <w:szCs w:val="20"/>
              </w:rPr>
              <w:t xml:space="preserve"> (by Chartered Accountant)</w:t>
            </w:r>
            <w:r w:rsidRPr="00891464">
              <w:rPr>
                <w:rFonts w:ascii="Arial" w:hAnsi="Arial" w:cs="Arial"/>
                <w:sz w:val="20"/>
                <w:szCs w:val="20"/>
              </w:rPr>
              <w:t xml:space="preserve"> payments received for contracts in progress or completed, within the last</w:t>
            </w:r>
            <w:r w:rsidR="00EA1832" w:rsidRPr="00891464">
              <w:rPr>
                <w:rFonts w:ascii="Arial" w:hAnsi="Arial" w:cs="Arial"/>
                <w:sz w:val="20"/>
                <w:szCs w:val="20"/>
              </w:rPr>
              <w:t xml:space="preserve"> </w:t>
            </w:r>
            <w:r w:rsidR="00EA1832" w:rsidRPr="00891464">
              <w:rPr>
                <w:rFonts w:ascii="Arial" w:hAnsi="Arial" w:cs="Arial"/>
                <w:i/>
                <w:sz w:val="20"/>
                <w:szCs w:val="20"/>
              </w:rPr>
              <w:t>three (3)</w:t>
            </w:r>
            <w:r w:rsidR="00EA1832" w:rsidRPr="00891464">
              <w:rPr>
                <w:rFonts w:ascii="Arial" w:hAnsi="Arial" w:cs="Arial"/>
                <w:sz w:val="20"/>
                <w:szCs w:val="20"/>
              </w:rPr>
              <w:t xml:space="preserve"> </w:t>
            </w:r>
            <w:r w:rsidRPr="00891464">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hAnsi="Arial" w:cs="Arial"/>
                <w:sz w:val="16"/>
                <w:szCs w:val="18"/>
              </w:rPr>
            </w:pPr>
            <w:r w:rsidRPr="00891464">
              <w:rPr>
                <w:rFonts w:ascii="Arial" w:hAnsi="Arial" w:cs="Arial"/>
                <w:sz w:val="16"/>
                <w:szCs w:val="18"/>
              </w:rPr>
              <w:t>must meet</w:t>
            </w:r>
          </w:p>
          <w:p w:rsidR="004051AC" w:rsidRPr="00891464" w:rsidRDefault="005B133A">
            <w:pPr>
              <w:spacing w:before="60" w:after="60"/>
              <w:ind w:left="72" w:right="72"/>
              <w:jc w:val="center"/>
              <w:rPr>
                <w:rFonts w:ascii="Arial" w:hAnsi="Arial" w:cs="Arial"/>
                <w:color w:val="000000"/>
                <w:sz w:val="16"/>
                <w:szCs w:val="18"/>
              </w:rPr>
            </w:pPr>
            <w:r w:rsidRPr="00891464">
              <w:rPr>
                <w:rFonts w:ascii="Arial" w:hAnsi="Arial" w:cs="Arial"/>
                <w:color w:val="000000"/>
                <w:sz w:val="16"/>
                <w:szCs w:val="18"/>
              </w:rPr>
              <w:t>25</w:t>
            </w:r>
            <w:r w:rsidR="00EA1832" w:rsidRPr="00891464">
              <w:rPr>
                <w:rFonts w:ascii="Arial" w:hAnsi="Arial" w:cs="Arial"/>
                <w:color w:val="000000"/>
                <w:sz w:val="16"/>
                <w:szCs w:val="18"/>
              </w:rPr>
              <w:t>%</w:t>
            </w:r>
          </w:p>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Pr="00891464" w:rsidRDefault="004051AC">
            <w:pPr>
              <w:spacing w:before="60" w:after="60"/>
              <w:ind w:left="72" w:right="72"/>
              <w:jc w:val="center"/>
              <w:rPr>
                <w:rFonts w:ascii="Arial" w:hAnsi="Arial" w:cs="Arial"/>
                <w:color w:val="000000"/>
                <w:sz w:val="16"/>
                <w:szCs w:val="18"/>
              </w:rPr>
            </w:pPr>
            <w:r w:rsidRPr="00891464">
              <w:rPr>
                <w:rFonts w:ascii="Arial" w:hAnsi="Arial" w:cs="Arial"/>
                <w:sz w:val="16"/>
                <w:szCs w:val="18"/>
              </w:rPr>
              <w:t xml:space="preserve">must meet </w:t>
            </w:r>
          </w:p>
          <w:p w:rsidR="004051AC" w:rsidRPr="00891464" w:rsidRDefault="005B133A">
            <w:pPr>
              <w:spacing w:before="60" w:after="60"/>
              <w:ind w:left="72" w:right="72"/>
              <w:jc w:val="center"/>
              <w:rPr>
                <w:rFonts w:ascii="Arial" w:hAnsi="Arial" w:cs="Arial"/>
                <w:color w:val="000000"/>
                <w:sz w:val="16"/>
                <w:szCs w:val="18"/>
              </w:rPr>
            </w:pPr>
            <w:r w:rsidRPr="00891464">
              <w:rPr>
                <w:rFonts w:ascii="Arial" w:hAnsi="Arial" w:cs="Arial"/>
                <w:color w:val="000000"/>
                <w:sz w:val="16"/>
                <w:szCs w:val="18"/>
              </w:rPr>
              <w:t>40</w:t>
            </w:r>
            <w:r w:rsidR="00EA1832" w:rsidRPr="00891464">
              <w:rPr>
                <w:rFonts w:ascii="Arial" w:hAnsi="Arial" w:cs="Arial"/>
                <w:color w:val="000000"/>
                <w:sz w:val="16"/>
                <w:szCs w:val="18"/>
              </w:rPr>
              <w:t>%</w:t>
            </w:r>
            <w:r w:rsidR="004051AC" w:rsidRPr="00891464">
              <w:rPr>
                <w:rFonts w:ascii="Arial" w:hAnsi="Arial" w:cs="Arial"/>
                <w:color w:val="000000"/>
                <w:sz w:val="16"/>
                <w:szCs w:val="18"/>
              </w:rPr>
              <w:t xml:space="preserve"> </w:t>
            </w:r>
          </w:p>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8"/>
              </w:rPr>
              <w:t>Form FIN</w:t>
            </w:r>
            <w:r w:rsidR="00B605CD" w:rsidRPr="00891464">
              <w:rPr>
                <w:rFonts w:ascii="Arial" w:hAnsi="Arial" w:cs="Arial"/>
                <w:sz w:val="16"/>
                <w:szCs w:val="18"/>
              </w:rPr>
              <w:t xml:space="preserve"> - </w:t>
            </w:r>
            <w:r w:rsidRPr="00891464">
              <w:rPr>
                <w:rFonts w:ascii="Arial" w:hAnsi="Arial" w:cs="Arial"/>
                <w:sz w:val="16"/>
                <w:szCs w:val="18"/>
              </w:rPr>
              <w:t>2</w:t>
            </w:r>
          </w:p>
        </w:tc>
      </w:tr>
    </w:tbl>
    <w:p w:rsidR="004051AC" w:rsidRPr="00891464" w:rsidRDefault="004051AC">
      <w:pPr>
        <w:rPr>
          <w:rFonts w:ascii="Arial" w:hAnsi="Arial" w:cs="Arial"/>
          <w:b/>
          <w:bCs/>
          <w:sz w:val="16"/>
          <w:szCs w:val="28"/>
        </w:rPr>
      </w:pPr>
    </w:p>
    <w:p w:rsidR="00077499" w:rsidRPr="00891464" w:rsidRDefault="007A23ED" w:rsidP="003A5401">
      <w:pPr>
        <w:pStyle w:val="Heading1"/>
        <w:spacing w:before="0" w:after="0"/>
        <w:ind w:left="907" w:hanging="648"/>
        <w:rPr>
          <w:bCs w:val="0"/>
          <w:sz w:val="20"/>
        </w:rPr>
      </w:pPr>
      <w:bookmarkStart w:id="20" w:name="_Toc78774503"/>
      <w:r w:rsidRPr="00891464">
        <w:rPr>
          <w:bCs w:val="0"/>
          <w:sz w:val="20"/>
        </w:rPr>
        <w:br w:type="page"/>
      </w:r>
      <w:r w:rsidR="00077499" w:rsidRPr="00891464">
        <w:rPr>
          <w:bCs w:val="0"/>
          <w:sz w:val="20"/>
        </w:rPr>
        <w:lastRenderedPageBreak/>
        <w:t>2.3.3</w:t>
      </w:r>
      <w:r w:rsidR="00077499" w:rsidRPr="00891464">
        <w:rPr>
          <w:bCs w:val="0"/>
          <w:sz w:val="20"/>
        </w:rPr>
        <w:tab/>
        <w:t>Financial Resources</w:t>
      </w:r>
      <w:bookmarkEnd w:id="20"/>
    </w:p>
    <w:p w:rsidR="005C6C4A" w:rsidRPr="00891464" w:rsidRDefault="005C6C4A" w:rsidP="00B03E9E"/>
    <w:p w:rsidR="005C6C4A" w:rsidRPr="00891464" w:rsidRDefault="005C6C4A" w:rsidP="00B03E9E">
      <w:pPr>
        <w:ind w:left="270"/>
        <w:jc w:val="both"/>
      </w:pPr>
      <w:r w:rsidRPr="00891464">
        <w:rPr>
          <w:rFonts w:ascii="Arial" w:hAnsi="Arial" w:cs="Arial"/>
          <w:bCs/>
          <w:sz w:val="20"/>
          <w:szCs w:val="20"/>
        </w:rPr>
        <w:t>If the bid evaluation process and the decision for the award of the Contract takes more than one (1) 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sidRPr="00891464">
        <w:rPr>
          <w:rFonts w:ascii="Arial" w:hAnsi="Arial" w:cs="Arial"/>
          <w:bCs/>
          <w:sz w:val="20"/>
          <w:szCs w:val="20"/>
        </w:rPr>
        <w:t>.</w:t>
      </w:r>
    </w:p>
    <w:p w:rsidR="005C6C4A" w:rsidRPr="00891464" w:rsidRDefault="005C6C4A" w:rsidP="00B03E9E"/>
    <w:tbl>
      <w:tblPr>
        <w:tblW w:w="5000" w:type="pct"/>
        <w:jc w:val="center"/>
        <w:tblCellMar>
          <w:left w:w="0" w:type="dxa"/>
          <w:right w:w="0" w:type="dxa"/>
        </w:tblCellMar>
        <w:tblLook w:val="0000" w:firstRow="0" w:lastRow="0" w:firstColumn="0" w:lastColumn="0" w:noHBand="0" w:noVBand="0"/>
      </w:tblPr>
      <w:tblGrid>
        <w:gridCol w:w="3249"/>
        <w:gridCol w:w="1167"/>
        <w:gridCol w:w="1167"/>
        <w:gridCol w:w="1194"/>
        <w:gridCol w:w="1165"/>
        <w:gridCol w:w="1736"/>
      </w:tblGrid>
      <w:tr w:rsidR="00517EE0" w:rsidRPr="00891464" w:rsidTr="008761D8">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517EE0" w:rsidRPr="00891464" w:rsidRDefault="00517EE0" w:rsidP="00AC6956">
            <w:pPr>
              <w:jc w:val="center"/>
              <w:rPr>
                <w:rFonts w:ascii="Arial" w:eastAsia="Arial Unicode MS" w:hAnsi="Arial" w:cs="Arial"/>
                <w:b/>
                <w:bCs/>
                <w:color w:val="FFFFFF"/>
                <w:sz w:val="20"/>
                <w:szCs w:val="20"/>
              </w:rPr>
            </w:pPr>
            <w:r w:rsidRPr="00891464">
              <w:rPr>
                <w:rFonts w:ascii="Arial" w:hAnsi="Arial" w:cs="Arial"/>
                <w:b/>
                <w:bCs/>
                <w:color w:val="FFFFFF"/>
                <w:sz w:val="20"/>
                <w:szCs w:val="20"/>
              </w:rPr>
              <w:t>Criteria</w:t>
            </w:r>
          </w:p>
        </w:tc>
        <w:tc>
          <w:tcPr>
            <w:tcW w:w="2424"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517EE0" w:rsidRPr="00891464" w:rsidRDefault="00517EE0" w:rsidP="00AC6956">
            <w:pPr>
              <w:jc w:val="center"/>
              <w:rPr>
                <w:rFonts w:ascii="Arial" w:eastAsia="Arial Unicode MS" w:hAnsi="Arial" w:cs="Arial"/>
                <w:b/>
                <w:bCs/>
                <w:color w:val="FFFFFF"/>
                <w:sz w:val="20"/>
                <w:szCs w:val="20"/>
              </w:rPr>
            </w:pPr>
            <w:r w:rsidRPr="00891464">
              <w:rPr>
                <w:rFonts w:ascii="Arial" w:hAnsi="Arial" w:cs="Arial"/>
                <w:b/>
                <w:bCs/>
                <w:color w:val="FFFFFF"/>
                <w:sz w:val="20"/>
                <w:szCs w:val="20"/>
              </w:rPr>
              <w:t>Compliance Requirements</w:t>
            </w:r>
          </w:p>
        </w:tc>
        <w:tc>
          <w:tcPr>
            <w:tcW w:w="897" w:type="pct"/>
            <w:tcBorders>
              <w:top w:val="nil"/>
              <w:left w:val="nil"/>
              <w:bottom w:val="single" w:sz="4" w:space="0" w:color="auto"/>
              <w:right w:val="nil"/>
            </w:tcBorders>
            <w:shd w:val="clear" w:color="auto" w:fill="000000"/>
            <w:tcMar>
              <w:top w:w="15" w:type="dxa"/>
              <w:left w:w="15" w:type="dxa"/>
              <w:bottom w:w="0" w:type="dxa"/>
              <w:right w:w="15" w:type="dxa"/>
            </w:tcMar>
            <w:vAlign w:val="center"/>
          </w:tcPr>
          <w:p w:rsidR="00517EE0" w:rsidRPr="00891464" w:rsidRDefault="00517EE0" w:rsidP="00AC6956">
            <w:pPr>
              <w:jc w:val="center"/>
              <w:rPr>
                <w:rFonts w:ascii="Arial" w:eastAsia="Arial Unicode MS" w:hAnsi="Arial" w:cs="Arial"/>
                <w:b/>
                <w:bCs/>
                <w:color w:val="FFFFFF"/>
                <w:sz w:val="20"/>
                <w:szCs w:val="20"/>
              </w:rPr>
            </w:pPr>
            <w:r w:rsidRPr="00891464">
              <w:rPr>
                <w:rFonts w:ascii="Arial" w:hAnsi="Arial" w:cs="Arial"/>
                <w:b/>
                <w:bCs/>
                <w:color w:val="FFFFFF"/>
                <w:sz w:val="20"/>
                <w:szCs w:val="20"/>
              </w:rPr>
              <w:t>Documents</w:t>
            </w:r>
          </w:p>
        </w:tc>
      </w:tr>
      <w:tr w:rsidR="00517EE0" w:rsidRPr="00891464" w:rsidTr="008761D8">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rsidR="00517EE0" w:rsidRPr="00891464" w:rsidRDefault="00517EE0" w:rsidP="00AC6956">
            <w:pPr>
              <w:jc w:val="center"/>
              <w:rPr>
                <w:rFonts w:ascii="Arial" w:eastAsia="Arial Unicode MS" w:hAnsi="Arial" w:cs="Arial"/>
                <w:b/>
                <w:bCs/>
                <w:sz w:val="20"/>
                <w:szCs w:val="20"/>
              </w:rPr>
            </w:pPr>
            <w:r w:rsidRPr="00891464">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rsidR="00517EE0" w:rsidRPr="00891464" w:rsidRDefault="00517EE0" w:rsidP="00AC6956">
            <w:pPr>
              <w:jc w:val="center"/>
              <w:rPr>
                <w:rFonts w:ascii="Arial" w:eastAsia="Arial Unicode MS" w:hAnsi="Arial" w:cs="Arial"/>
                <w:b/>
                <w:bCs/>
                <w:sz w:val="20"/>
                <w:szCs w:val="20"/>
              </w:rPr>
            </w:pPr>
            <w:r w:rsidRPr="00891464">
              <w:rPr>
                <w:rFonts w:ascii="Arial" w:hAnsi="Arial" w:cs="Arial"/>
                <w:b/>
                <w:bCs/>
                <w:sz w:val="20"/>
                <w:szCs w:val="20"/>
              </w:rPr>
              <w:t>Single Entity</w:t>
            </w:r>
          </w:p>
        </w:tc>
        <w:tc>
          <w:tcPr>
            <w:tcW w:w="1822"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517EE0" w:rsidRPr="00891464" w:rsidRDefault="00517EE0" w:rsidP="00AC6956">
            <w:pPr>
              <w:jc w:val="center"/>
              <w:rPr>
                <w:rFonts w:ascii="Arial" w:eastAsia="Arial Unicode MS" w:hAnsi="Arial" w:cs="Arial"/>
                <w:b/>
                <w:bCs/>
                <w:sz w:val="20"/>
                <w:szCs w:val="20"/>
              </w:rPr>
            </w:pPr>
            <w:r w:rsidRPr="00891464">
              <w:rPr>
                <w:rFonts w:ascii="Arial" w:hAnsi="Arial" w:cs="Arial"/>
                <w:b/>
                <w:bCs/>
                <w:sz w:val="20"/>
                <w:szCs w:val="20"/>
              </w:rPr>
              <w:t>Joint Venture</w:t>
            </w:r>
          </w:p>
        </w:tc>
        <w:tc>
          <w:tcPr>
            <w:tcW w:w="897" w:type="pct"/>
            <w:vMerge w:val="restart"/>
            <w:tcBorders>
              <w:top w:val="nil"/>
              <w:left w:val="single" w:sz="12" w:space="0" w:color="auto"/>
              <w:right w:val="single" w:sz="4" w:space="0" w:color="auto"/>
            </w:tcBorders>
            <w:tcMar>
              <w:top w:w="15" w:type="dxa"/>
              <w:left w:w="15" w:type="dxa"/>
              <w:bottom w:w="0" w:type="dxa"/>
              <w:right w:w="15" w:type="dxa"/>
            </w:tcMar>
            <w:vAlign w:val="center"/>
          </w:tcPr>
          <w:p w:rsidR="00517EE0" w:rsidRPr="00891464" w:rsidRDefault="00517EE0" w:rsidP="00AC6956">
            <w:pPr>
              <w:jc w:val="center"/>
              <w:rPr>
                <w:rFonts w:ascii="Arial" w:eastAsia="Arial Unicode MS" w:hAnsi="Arial" w:cs="Arial"/>
                <w:b/>
                <w:bCs/>
                <w:sz w:val="20"/>
                <w:szCs w:val="20"/>
              </w:rPr>
            </w:pPr>
            <w:r w:rsidRPr="00891464">
              <w:rPr>
                <w:rFonts w:ascii="Arial" w:hAnsi="Arial" w:cs="Arial"/>
                <w:b/>
                <w:bCs/>
                <w:sz w:val="20"/>
                <w:szCs w:val="20"/>
              </w:rPr>
              <w:t>Submission Requirements</w:t>
            </w:r>
          </w:p>
        </w:tc>
      </w:tr>
      <w:tr w:rsidR="00517EE0" w:rsidRPr="00891464" w:rsidTr="008761D8">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rsidR="00517EE0" w:rsidRPr="00891464"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rsidR="00517EE0" w:rsidRPr="00891464"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517EE0" w:rsidRPr="00891464" w:rsidRDefault="00517EE0" w:rsidP="00AC6956">
            <w:pPr>
              <w:jc w:val="center"/>
              <w:rPr>
                <w:rFonts w:ascii="Arial" w:hAnsi="Arial" w:cs="Arial"/>
                <w:b/>
                <w:bCs/>
                <w:sz w:val="16"/>
                <w:szCs w:val="16"/>
              </w:rPr>
            </w:pPr>
            <w:r w:rsidRPr="00891464">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rsidR="00517EE0" w:rsidRPr="00891464" w:rsidRDefault="00517EE0" w:rsidP="00AC6956">
            <w:pPr>
              <w:jc w:val="center"/>
              <w:rPr>
                <w:rFonts w:ascii="Arial" w:hAnsi="Arial" w:cs="Arial"/>
                <w:b/>
                <w:bCs/>
                <w:sz w:val="16"/>
                <w:szCs w:val="16"/>
              </w:rPr>
            </w:pPr>
            <w:r w:rsidRPr="00891464">
              <w:rPr>
                <w:rFonts w:ascii="Arial" w:hAnsi="Arial" w:cs="Arial"/>
                <w:b/>
                <w:bCs/>
                <w:sz w:val="16"/>
                <w:szCs w:val="16"/>
              </w:rPr>
              <w:t>Each Partner</w:t>
            </w:r>
          </w:p>
        </w:tc>
        <w:tc>
          <w:tcPr>
            <w:tcW w:w="602" w:type="pct"/>
            <w:tcBorders>
              <w:top w:val="single" w:sz="4" w:space="0" w:color="auto"/>
              <w:left w:val="single" w:sz="4" w:space="0" w:color="000000"/>
              <w:bottom w:val="single" w:sz="4" w:space="0" w:color="auto"/>
              <w:right w:val="single" w:sz="12" w:space="0" w:color="000000"/>
            </w:tcBorders>
            <w:vAlign w:val="center"/>
          </w:tcPr>
          <w:p w:rsidR="00517EE0" w:rsidRPr="00891464" w:rsidRDefault="00517EE0" w:rsidP="00AC6956">
            <w:pPr>
              <w:jc w:val="center"/>
              <w:rPr>
                <w:rFonts w:ascii="Arial" w:hAnsi="Arial" w:cs="Arial"/>
                <w:b/>
                <w:bCs/>
                <w:sz w:val="16"/>
                <w:szCs w:val="16"/>
              </w:rPr>
            </w:pPr>
            <w:r w:rsidRPr="00891464">
              <w:rPr>
                <w:rFonts w:ascii="Arial" w:hAnsi="Arial" w:cs="Arial"/>
                <w:b/>
                <w:bCs/>
                <w:sz w:val="16"/>
                <w:szCs w:val="16"/>
              </w:rPr>
              <w:t>One Partner</w:t>
            </w:r>
          </w:p>
        </w:tc>
        <w:tc>
          <w:tcPr>
            <w:tcW w:w="897"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rsidR="00517EE0" w:rsidRPr="00891464" w:rsidRDefault="00517EE0" w:rsidP="00AC6956">
            <w:pPr>
              <w:jc w:val="center"/>
              <w:rPr>
                <w:rFonts w:ascii="Arial" w:hAnsi="Arial" w:cs="Arial"/>
                <w:b/>
                <w:bCs/>
                <w:sz w:val="16"/>
                <w:szCs w:val="16"/>
              </w:rPr>
            </w:pPr>
          </w:p>
        </w:tc>
      </w:tr>
      <w:tr w:rsidR="00517EE0" w:rsidRPr="00891464" w:rsidTr="008761D8">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891464" w:rsidRDefault="00517EE0" w:rsidP="00AC6956">
            <w:pPr>
              <w:pStyle w:val="SectionVHeader"/>
              <w:ind w:left="180" w:right="143"/>
              <w:jc w:val="left"/>
              <w:rPr>
                <w:rFonts w:cs="Arial"/>
                <w:b w:val="0"/>
                <w:sz w:val="20"/>
                <w:lang w:val="en-US"/>
              </w:rPr>
            </w:pPr>
            <w:bookmarkStart w:id="21" w:name="_Toc378120645"/>
            <w:r w:rsidRPr="00891464">
              <w:rPr>
                <w:rFonts w:cs="Arial"/>
                <w:b w:val="0"/>
                <w:sz w:val="20"/>
                <w:lang w:val="en-US"/>
              </w:rPr>
              <w:t>The Bidder must demonstrate that it has the financial resources to meet</w:t>
            </w:r>
            <w:bookmarkEnd w:id="21"/>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eastAsia="Arial Unicode MS" w:hAnsi="Arial" w:cs="Arial"/>
                <w:sz w:val="16"/>
                <w:szCs w:val="18"/>
              </w:rPr>
            </w:pP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eastAsia="Arial Unicode MS" w:hAnsi="Arial" w:cs="Arial"/>
                <w:sz w:val="16"/>
                <w:szCs w:val="18"/>
              </w:rPr>
            </w:pP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eastAsia="Arial Unicode MS" w:hAnsi="Arial" w:cs="Arial"/>
                <w:sz w:val="16"/>
                <w:szCs w:val="18"/>
              </w:rPr>
            </w:pPr>
          </w:p>
        </w:tc>
      </w:tr>
      <w:tr w:rsidR="00517EE0" w:rsidRPr="00891464" w:rsidTr="008761D8">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891464" w:rsidRDefault="00517EE0" w:rsidP="00517EE0">
            <w:pPr>
              <w:pStyle w:val="SectionVHeader"/>
              <w:numPr>
                <w:ilvl w:val="0"/>
                <w:numId w:val="8"/>
              </w:numPr>
              <w:ind w:right="143"/>
              <w:jc w:val="left"/>
              <w:rPr>
                <w:rFonts w:cs="Arial"/>
                <w:b w:val="0"/>
                <w:sz w:val="20"/>
                <w:lang w:val="en-US"/>
              </w:rPr>
            </w:pPr>
            <w:r w:rsidRPr="00891464">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8"/>
              </w:rPr>
            </w:pPr>
            <w:r w:rsidRPr="00891464">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8"/>
              </w:rPr>
            </w:pPr>
            <w:r w:rsidRPr="00891464">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8"/>
              </w:rPr>
            </w:pPr>
            <w:r w:rsidRPr="00891464">
              <w:rPr>
                <w:rFonts w:ascii="Arial" w:hAnsi="Arial" w:cs="Arial"/>
                <w:sz w:val="16"/>
                <w:szCs w:val="18"/>
              </w:rPr>
              <w:t>must meet requirement for its own contractual commitments</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8"/>
              </w:rPr>
            </w:pPr>
            <w:r w:rsidRPr="00891464">
              <w:rPr>
                <w:rFonts w:ascii="Arial" w:hAnsi="Arial" w:cs="Arial"/>
                <w:sz w:val="16"/>
                <w:szCs w:val="18"/>
              </w:rPr>
              <w:t>not applicable</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8"/>
              </w:rPr>
            </w:pPr>
            <w:r w:rsidRPr="00891464">
              <w:rPr>
                <w:rFonts w:ascii="Arial" w:hAnsi="Arial" w:cs="Arial"/>
                <w:sz w:val="16"/>
                <w:szCs w:val="18"/>
              </w:rPr>
              <w:t>Form FIN - 4</w:t>
            </w:r>
          </w:p>
        </w:tc>
      </w:tr>
      <w:tr w:rsidR="00517EE0" w:rsidRPr="00891464" w:rsidTr="00B5796A">
        <w:trPr>
          <w:trHeight w:val="74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891464" w:rsidRDefault="00517EE0" w:rsidP="00B5796A">
            <w:pPr>
              <w:pStyle w:val="SectionVHeader"/>
              <w:numPr>
                <w:ilvl w:val="0"/>
                <w:numId w:val="8"/>
              </w:numPr>
              <w:ind w:right="143"/>
              <w:jc w:val="left"/>
              <w:rPr>
                <w:rFonts w:cs="Arial"/>
                <w:b w:val="0"/>
                <w:sz w:val="20"/>
                <w:lang w:val="en-US"/>
              </w:rPr>
            </w:pPr>
            <w:r w:rsidRPr="00891464">
              <w:rPr>
                <w:rFonts w:cs="Arial"/>
                <w:b w:val="0"/>
                <w:sz w:val="20"/>
                <w:lang w:val="en-US"/>
              </w:rPr>
              <w:t>the requirements for the Subject Contract of</w:t>
            </w:r>
            <w:r w:rsidR="005D3D7A" w:rsidRPr="00891464">
              <w:rPr>
                <w:rFonts w:cs="Arial"/>
                <w:b w:val="0"/>
                <w:sz w:val="20"/>
                <w:lang w:val="en-US"/>
              </w:rPr>
              <w:t xml:space="preserve"> </w:t>
            </w:r>
            <w:r w:rsidR="005D3D7A" w:rsidRPr="00891464">
              <w:rPr>
                <w:rFonts w:cs="Arial"/>
                <w:sz w:val="20"/>
                <w:lang w:val="en-US"/>
              </w:rPr>
              <w:t>INR</w:t>
            </w:r>
            <w:r w:rsidR="00EE3B93" w:rsidRPr="00891464">
              <w:rPr>
                <w:rFonts w:cs="Arial"/>
                <w:sz w:val="20"/>
                <w:lang w:val="en-US"/>
              </w:rPr>
              <w:t xml:space="preserve"> </w:t>
            </w:r>
            <w:r w:rsidR="00400218" w:rsidRPr="00891464">
              <w:rPr>
                <w:rFonts w:cs="Arial"/>
                <w:sz w:val="20"/>
                <w:lang w:val="en-US"/>
              </w:rPr>
              <w:t>0.9</w:t>
            </w:r>
            <w:r w:rsidR="00A16646" w:rsidRPr="00891464">
              <w:rPr>
                <w:rFonts w:cs="Arial"/>
                <w:sz w:val="20"/>
                <w:lang w:val="en-US"/>
              </w:rPr>
              <w:t xml:space="preserve"> </w:t>
            </w:r>
            <w:r w:rsidR="009452AF" w:rsidRPr="00891464">
              <w:rPr>
                <w:rFonts w:cs="Arial"/>
                <w:sz w:val="20"/>
                <w:lang w:val="en-US"/>
              </w:rPr>
              <w:t>million</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8"/>
              </w:rPr>
            </w:pPr>
            <w:r w:rsidRPr="00891464">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8"/>
              </w:rPr>
            </w:pPr>
            <w:r w:rsidRPr="00891464">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6"/>
              </w:rPr>
            </w:pPr>
            <w:r w:rsidRPr="00891464">
              <w:rPr>
                <w:rFonts w:ascii="Arial" w:hAnsi="Arial" w:cs="Arial"/>
                <w:sz w:val="16"/>
                <w:szCs w:val="16"/>
              </w:rPr>
              <w:t xml:space="preserve">must meet </w:t>
            </w:r>
          </w:p>
          <w:p w:rsidR="00517EE0" w:rsidRPr="00891464" w:rsidRDefault="005B133A" w:rsidP="005B133A">
            <w:pPr>
              <w:spacing w:before="60" w:after="60"/>
              <w:ind w:left="72" w:right="72"/>
              <w:jc w:val="center"/>
              <w:rPr>
                <w:rFonts w:ascii="Arial" w:hAnsi="Arial" w:cs="Arial"/>
                <w:sz w:val="16"/>
                <w:szCs w:val="18"/>
              </w:rPr>
            </w:pPr>
            <w:r w:rsidRPr="00891464">
              <w:rPr>
                <w:rFonts w:ascii="Arial" w:hAnsi="Arial" w:cs="Arial"/>
                <w:sz w:val="16"/>
                <w:szCs w:val="16"/>
              </w:rPr>
              <w:t>25</w:t>
            </w:r>
            <w:r w:rsidR="005D3D7A" w:rsidRPr="00891464">
              <w:rPr>
                <w:rFonts w:ascii="Arial" w:hAnsi="Arial" w:cs="Arial"/>
                <w:sz w:val="16"/>
                <w:szCs w:val="16"/>
              </w:rPr>
              <w:t>%</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6"/>
              </w:rPr>
            </w:pPr>
            <w:r w:rsidRPr="00891464">
              <w:rPr>
                <w:rFonts w:ascii="Arial" w:hAnsi="Arial" w:cs="Arial"/>
                <w:sz w:val="16"/>
                <w:szCs w:val="16"/>
              </w:rPr>
              <w:t>must meet</w:t>
            </w:r>
          </w:p>
          <w:p w:rsidR="00517EE0" w:rsidRPr="00891464" w:rsidRDefault="005B133A" w:rsidP="005B133A">
            <w:pPr>
              <w:spacing w:before="60" w:after="60"/>
              <w:ind w:left="72" w:right="72"/>
              <w:jc w:val="center"/>
              <w:rPr>
                <w:rFonts w:ascii="Arial" w:hAnsi="Arial" w:cs="Arial"/>
                <w:sz w:val="16"/>
                <w:szCs w:val="18"/>
              </w:rPr>
            </w:pPr>
            <w:r w:rsidRPr="00891464">
              <w:rPr>
                <w:rFonts w:ascii="Arial" w:hAnsi="Arial" w:cs="Arial"/>
                <w:sz w:val="16"/>
                <w:szCs w:val="16"/>
              </w:rPr>
              <w:t>4</w:t>
            </w:r>
            <w:r w:rsidR="005D3D7A" w:rsidRPr="00891464">
              <w:rPr>
                <w:rFonts w:ascii="Arial" w:hAnsi="Arial" w:cs="Arial"/>
                <w:sz w:val="16"/>
                <w:szCs w:val="16"/>
              </w:rPr>
              <w:t>0%</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891464" w:rsidRDefault="00517EE0" w:rsidP="00AC6956">
            <w:pPr>
              <w:spacing w:before="60" w:after="60"/>
              <w:ind w:left="72" w:right="72"/>
              <w:jc w:val="center"/>
              <w:rPr>
                <w:rFonts w:ascii="Arial" w:hAnsi="Arial" w:cs="Arial"/>
                <w:sz w:val="16"/>
                <w:szCs w:val="18"/>
              </w:rPr>
            </w:pPr>
            <w:r w:rsidRPr="00891464">
              <w:rPr>
                <w:rFonts w:ascii="Arial" w:hAnsi="Arial" w:cs="Arial"/>
                <w:sz w:val="16"/>
                <w:szCs w:val="18"/>
              </w:rPr>
              <w:t>Form FIN – 3 and Form FIN - 4</w:t>
            </w:r>
          </w:p>
        </w:tc>
      </w:tr>
    </w:tbl>
    <w:p w:rsidR="008761D8" w:rsidRPr="00891464" w:rsidRDefault="008761D8" w:rsidP="008761D8">
      <w:pPr>
        <w:pStyle w:val="Heading1"/>
        <w:spacing w:before="120" w:after="120"/>
        <w:jc w:val="both"/>
        <w:rPr>
          <w:b w:val="0"/>
          <w:sz w:val="18"/>
          <w:szCs w:val="20"/>
        </w:rPr>
      </w:pPr>
    </w:p>
    <w:p w:rsidR="004051AC" w:rsidRPr="00891464" w:rsidRDefault="004051AC" w:rsidP="008761D8">
      <w:pPr>
        <w:pStyle w:val="Heading1"/>
        <w:spacing w:before="120" w:after="120"/>
        <w:ind w:left="270" w:hanging="11"/>
        <w:rPr>
          <w:rFonts w:cs="Times New Roman"/>
          <w:bCs w:val="0"/>
          <w:noProof/>
          <w:kern w:val="0"/>
          <w:sz w:val="24"/>
          <w:szCs w:val="24"/>
        </w:rPr>
      </w:pPr>
      <w:r w:rsidRPr="00891464">
        <w:rPr>
          <w:sz w:val="16"/>
          <w:szCs w:val="28"/>
        </w:rPr>
        <w:br w:type="page"/>
      </w:r>
      <w:bookmarkStart w:id="22" w:name="_Toc103401433"/>
      <w:bookmarkStart w:id="23" w:name="_Toc438266927"/>
      <w:bookmarkStart w:id="24" w:name="_Toc438267901"/>
      <w:bookmarkStart w:id="25" w:name="_Toc438366667"/>
      <w:bookmarkStart w:id="26" w:name="_Toc470507660"/>
      <w:bookmarkStart w:id="27" w:name="_Toc473868299"/>
      <w:bookmarkStart w:id="28" w:name="_Toc496006436"/>
      <w:bookmarkStart w:id="29" w:name="_Toc496006837"/>
      <w:bookmarkStart w:id="30" w:name="_Toc496113488"/>
      <w:bookmarkStart w:id="31" w:name="_Toc496359160"/>
      <w:bookmarkStart w:id="32" w:name="_Toc496414656"/>
      <w:bookmarkStart w:id="33" w:name="_Toc496618515"/>
      <w:bookmarkStart w:id="34" w:name="_Toc496965962"/>
      <w:bookmarkStart w:id="35" w:name="_Toc496966085"/>
      <w:bookmarkStart w:id="36" w:name="_Toc496966412"/>
      <w:bookmarkStart w:id="37" w:name="_Toc498849202"/>
      <w:bookmarkStart w:id="38" w:name="_Toc498849456"/>
      <w:bookmarkStart w:id="39" w:name="_Toc498850079"/>
      <w:bookmarkStart w:id="40" w:name="_Toc498851684"/>
      <w:bookmarkStart w:id="41" w:name="_Toc499021790"/>
      <w:bookmarkStart w:id="42" w:name="_Toc499023473"/>
      <w:bookmarkStart w:id="43" w:name="_Toc501529955"/>
      <w:bookmarkStart w:id="44" w:name="_Toc503874232"/>
      <w:r w:rsidRPr="00891464">
        <w:rPr>
          <w:rFonts w:cs="Times New Roman"/>
          <w:bCs w:val="0"/>
          <w:noProof/>
          <w:kern w:val="0"/>
          <w:sz w:val="24"/>
          <w:szCs w:val="24"/>
        </w:rPr>
        <w:lastRenderedPageBreak/>
        <w:t>2.4</w:t>
      </w:r>
      <w:r w:rsidRPr="00891464">
        <w:rPr>
          <w:rFonts w:cs="Times New Roman"/>
          <w:bCs w:val="0"/>
          <w:noProof/>
          <w:kern w:val="0"/>
          <w:sz w:val="24"/>
          <w:szCs w:val="24"/>
        </w:rPr>
        <w:tab/>
      </w:r>
      <w:r w:rsidR="007F7565" w:rsidRPr="00891464">
        <w:rPr>
          <w:rFonts w:cs="Times New Roman"/>
          <w:bCs w:val="0"/>
          <w:noProof/>
          <w:kern w:val="0"/>
          <w:sz w:val="24"/>
          <w:szCs w:val="24"/>
        </w:rPr>
        <w:t xml:space="preserve">Construction </w:t>
      </w:r>
      <w:r w:rsidRPr="00891464">
        <w:rPr>
          <w:rFonts w:cs="Times New Roman"/>
          <w:bCs w:val="0"/>
          <w:noProof/>
          <w:kern w:val="0"/>
          <w:sz w:val="24"/>
          <w:szCs w:val="24"/>
        </w:rPr>
        <w:t>Experience</w:t>
      </w:r>
      <w:bookmarkEnd w:id="22"/>
    </w:p>
    <w:p w:rsidR="00B12102" w:rsidRPr="00891464" w:rsidRDefault="00B12102" w:rsidP="00B12102">
      <w:pPr>
        <w:pStyle w:val="Heading1"/>
        <w:ind w:left="900" w:hanging="648"/>
        <w:rPr>
          <w:bCs w:val="0"/>
          <w:sz w:val="20"/>
          <w:szCs w:val="20"/>
        </w:rPr>
      </w:pPr>
      <w:r w:rsidRPr="00891464">
        <w:rPr>
          <w:bCs w:val="0"/>
          <w:sz w:val="20"/>
          <w:szCs w:val="20"/>
        </w:rPr>
        <w:t>2.4.1</w:t>
      </w:r>
      <w:r w:rsidRPr="00891464">
        <w:rPr>
          <w:bCs w:val="0"/>
          <w:sz w:val="20"/>
          <w:szCs w:val="20"/>
        </w:rPr>
        <w:tab/>
        <w:t>Contracts of Similar Size and Nature</w:t>
      </w:r>
    </w:p>
    <w:p w:rsidR="007F7565" w:rsidRPr="00891464" w:rsidRDefault="007F7565">
      <w:pPr>
        <w:rPr>
          <w:rFonts w:ascii="Arial" w:eastAsia="Arial Unicode MS"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rsidRPr="00891464">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Pr="00891464" w:rsidRDefault="004051AC">
            <w:pPr>
              <w:jc w:val="center"/>
              <w:rPr>
                <w:rFonts w:ascii="Arial" w:eastAsia="Arial Unicode MS" w:hAnsi="Arial" w:cs="Arial"/>
                <w:b/>
                <w:bCs/>
                <w:color w:val="FFFFFF"/>
                <w:sz w:val="16"/>
              </w:rPr>
            </w:pPr>
            <w:r w:rsidRPr="00891464">
              <w:rPr>
                <w:rFonts w:ascii="Arial" w:hAnsi="Arial" w:cs="Arial"/>
                <w:b/>
                <w:bCs/>
                <w:color w:val="FFFFFF"/>
                <w:sz w:val="16"/>
              </w:rPr>
              <w:t>Documents</w:t>
            </w:r>
          </w:p>
        </w:tc>
      </w:tr>
      <w:tr w:rsidR="004051AC" w:rsidRPr="00891464">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rPr>
            </w:pPr>
            <w:r w:rsidRPr="00891464">
              <w:rPr>
                <w:rFonts w:ascii="Arial" w:hAnsi="Arial" w:cs="Arial"/>
                <w:b/>
                <w:bCs/>
                <w:sz w:val="16"/>
              </w:rPr>
              <w:t>Submission Requirements</w:t>
            </w:r>
          </w:p>
        </w:tc>
      </w:tr>
      <w:tr w:rsidR="004051AC" w:rsidRPr="00891464" w:rsidTr="00AE503D">
        <w:trPr>
          <w:cantSplit/>
          <w:trHeight w:val="465"/>
          <w:jc w:val="center"/>
        </w:trPr>
        <w:tc>
          <w:tcPr>
            <w:tcW w:w="0" w:type="auto"/>
            <w:vMerge/>
            <w:tcBorders>
              <w:top w:val="nil"/>
              <w:left w:val="single" w:sz="4" w:space="0" w:color="auto"/>
              <w:bottom w:val="single" w:sz="4" w:space="0" w:color="auto"/>
              <w:right w:val="nil"/>
            </w:tcBorders>
            <w:vAlign w:val="center"/>
          </w:tcPr>
          <w:p w:rsidR="004051AC" w:rsidRPr="00891464"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4051AC" w:rsidRPr="00891464"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4051AC" w:rsidRPr="00891464" w:rsidRDefault="004051AC">
            <w:pPr>
              <w:jc w:val="center"/>
              <w:rPr>
                <w:rFonts w:ascii="Arial" w:eastAsia="Arial Unicode MS" w:hAnsi="Arial" w:cs="Arial"/>
                <w:b/>
                <w:bCs/>
                <w:sz w:val="16"/>
                <w:szCs w:val="16"/>
              </w:rPr>
            </w:pPr>
            <w:r w:rsidRPr="00891464">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4051AC" w:rsidRPr="00891464" w:rsidRDefault="004051AC">
            <w:pPr>
              <w:rPr>
                <w:rFonts w:ascii="Arial" w:eastAsia="Arial Unicode MS" w:hAnsi="Arial" w:cs="Arial"/>
                <w:b/>
                <w:bCs/>
                <w:sz w:val="16"/>
              </w:rPr>
            </w:pPr>
          </w:p>
        </w:tc>
      </w:tr>
      <w:tr w:rsidR="005D3D7A" w:rsidRPr="00891464"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5D3D7A" w:rsidRPr="00891464" w:rsidRDefault="005D3D7A" w:rsidP="00B5796A">
            <w:pPr>
              <w:spacing w:before="60" w:after="60"/>
              <w:ind w:left="72" w:right="72"/>
              <w:rPr>
                <w:rFonts w:ascii="Arial" w:hAnsi="Arial" w:cs="Arial"/>
                <w:sz w:val="20"/>
                <w:szCs w:val="20"/>
              </w:rPr>
            </w:pPr>
            <w:r w:rsidRPr="00891464">
              <w:rPr>
                <w:rFonts w:ascii="Arial" w:hAnsi="Arial" w:cs="Arial"/>
                <w:sz w:val="20"/>
                <w:szCs w:val="20"/>
              </w:rPr>
              <w:t xml:space="preserve">Participation in at least one contract that has been successfully or substantially completed within the last </w:t>
            </w:r>
            <w:r w:rsidRPr="00891464">
              <w:rPr>
                <w:rFonts w:ascii="Arial" w:hAnsi="Arial" w:cs="Arial"/>
                <w:b/>
                <w:i/>
                <w:sz w:val="20"/>
                <w:szCs w:val="20"/>
              </w:rPr>
              <w:t>five years</w:t>
            </w:r>
            <w:r w:rsidRPr="00891464">
              <w:rPr>
                <w:rFonts w:ascii="Arial" w:hAnsi="Arial" w:cs="Arial"/>
                <w:sz w:val="20"/>
                <w:szCs w:val="20"/>
              </w:rPr>
              <w:t xml:space="preserve"> and that is </w:t>
            </w:r>
            <w:proofErr w:type="gramStart"/>
            <w:r w:rsidRPr="00891464">
              <w:rPr>
                <w:rFonts w:ascii="Arial" w:hAnsi="Arial" w:cs="Arial"/>
                <w:sz w:val="20"/>
                <w:szCs w:val="20"/>
              </w:rPr>
              <w:t>similar to</w:t>
            </w:r>
            <w:proofErr w:type="gramEnd"/>
            <w:r w:rsidRPr="00891464">
              <w:rPr>
                <w:rFonts w:ascii="Arial" w:hAnsi="Arial" w:cs="Arial"/>
                <w:sz w:val="20"/>
                <w:szCs w:val="20"/>
              </w:rPr>
              <w:t xml:space="preserve"> the proposed works, where the value of the Bidder’s participation exceeds </w:t>
            </w:r>
            <w:r w:rsidRPr="00891464">
              <w:rPr>
                <w:rFonts w:ascii="Arial" w:hAnsi="Arial" w:cs="Arial"/>
                <w:b/>
                <w:sz w:val="20"/>
                <w:szCs w:val="20"/>
              </w:rPr>
              <w:t>INR</w:t>
            </w:r>
            <w:r w:rsidR="009452AF" w:rsidRPr="00891464">
              <w:rPr>
                <w:rFonts w:ascii="Arial" w:hAnsi="Arial" w:cs="Arial"/>
                <w:b/>
                <w:sz w:val="20"/>
                <w:szCs w:val="20"/>
              </w:rPr>
              <w:t xml:space="preserve"> </w:t>
            </w:r>
            <w:r w:rsidR="00400218" w:rsidRPr="00891464">
              <w:rPr>
                <w:rFonts w:ascii="Arial" w:hAnsi="Arial" w:cs="Arial"/>
                <w:b/>
                <w:sz w:val="20"/>
                <w:szCs w:val="20"/>
              </w:rPr>
              <w:t>3.5</w:t>
            </w:r>
            <w:r w:rsidR="00A16646" w:rsidRPr="00891464">
              <w:rPr>
                <w:rFonts w:ascii="Arial" w:hAnsi="Arial" w:cs="Arial"/>
                <w:b/>
                <w:sz w:val="20"/>
                <w:szCs w:val="20"/>
              </w:rPr>
              <w:t xml:space="preserve"> </w:t>
            </w:r>
            <w:r w:rsidR="009452AF" w:rsidRPr="00891464">
              <w:rPr>
                <w:rFonts w:ascii="Arial" w:hAnsi="Arial" w:cs="Arial"/>
                <w:b/>
                <w:sz w:val="20"/>
                <w:szCs w:val="20"/>
              </w:rPr>
              <w:t>millio</w:t>
            </w:r>
            <w:r w:rsidR="007F15E1" w:rsidRPr="00891464">
              <w:rPr>
                <w:rFonts w:ascii="Arial" w:hAnsi="Arial" w:cs="Arial"/>
                <w:b/>
                <w:sz w:val="20"/>
                <w:szCs w:val="20"/>
              </w:rPr>
              <w:t>n</w:t>
            </w:r>
            <w:r w:rsidR="009452AF" w:rsidRPr="00891464">
              <w:rPr>
                <w:rFonts w:ascii="Arial" w:hAnsi="Arial" w:cs="Arial"/>
                <w:sz w:val="20"/>
                <w:szCs w:val="20"/>
              </w:rPr>
              <w:t xml:space="preserve">. </w:t>
            </w:r>
            <w:r w:rsidRPr="00891464">
              <w:rPr>
                <w:rFonts w:ascii="Arial" w:hAnsi="Arial" w:cs="Arial"/>
                <w:sz w:val="20"/>
                <w:szCs w:val="20"/>
              </w:rPr>
              <w:t>The similarity of the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D3D7A" w:rsidRPr="00891464" w:rsidRDefault="005D3D7A">
            <w:pPr>
              <w:spacing w:before="60" w:after="60"/>
              <w:ind w:left="72" w:right="72"/>
              <w:jc w:val="center"/>
              <w:rPr>
                <w:rFonts w:ascii="Arial" w:hAnsi="Arial" w:cs="Arial"/>
                <w:sz w:val="16"/>
                <w:szCs w:val="18"/>
              </w:rPr>
            </w:pPr>
            <w:r w:rsidRPr="00891464">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D3D7A" w:rsidRPr="00891464" w:rsidRDefault="005D3D7A">
            <w:pPr>
              <w:spacing w:before="60" w:after="60"/>
              <w:ind w:left="72" w:right="72"/>
              <w:jc w:val="center"/>
              <w:rPr>
                <w:rFonts w:ascii="Arial" w:hAnsi="Arial" w:cs="Arial"/>
                <w:sz w:val="16"/>
                <w:szCs w:val="16"/>
              </w:rPr>
            </w:pPr>
            <w:r w:rsidRPr="00891464">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3D7A" w:rsidRPr="00891464" w:rsidRDefault="005D3D7A">
            <w:pPr>
              <w:spacing w:before="60" w:after="60"/>
              <w:ind w:left="72" w:right="72"/>
              <w:jc w:val="center"/>
              <w:rPr>
                <w:rFonts w:ascii="Arial" w:hAnsi="Arial" w:cs="Arial"/>
                <w:sz w:val="16"/>
                <w:szCs w:val="16"/>
              </w:rPr>
            </w:pPr>
            <w:r w:rsidRPr="00891464">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5D3D7A" w:rsidRPr="00891464" w:rsidRDefault="005D3D7A">
            <w:pPr>
              <w:spacing w:before="60" w:after="60"/>
              <w:ind w:left="72" w:right="72"/>
              <w:jc w:val="center"/>
              <w:rPr>
                <w:rFonts w:ascii="Arial" w:hAnsi="Arial" w:cs="Arial"/>
                <w:sz w:val="16"/>
                <w:szCs w:val="18"/>
              </w:rPr>
            </w:pPr>
            <w:r w:rsidRPr="00891464">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D3D7A" w:rsidRPr="00891464" w:rsidRDefault="005D3D7A">
            <w:pPr>
              <w:spacing w:before="60" w:after="60"/>
              <w:ind w:left="72" w:right="72"/>
              <w:jc w:val="center"/>
              <w:rPr>
                <w:rFonts w:ascii="Arial" w:hAnsi="Arial" w:cs="Arial"/>
                <w:sz w:val="16"/>
                <w:szCs w:val="18"/>
              </w:rPr>
            </w:pPr>
            <w:r w:rsidRPr="00891464">
              <w:rPr>
                <w:rFonts w:ascii="Arial" w:hAnsi="Arial" w:cs="Arial"/>
                <w:sz w:val="16"/>
                <w:szCs w:val="18"/>
              </w:rPr>
              <w:t>Form EXP -1</w:t>
            </w:r>
          </w:p>
        </w:tc>
      </w:tr>
    </w:tbl>
    <w:p w:rsidR="007F15E1" w:rsidRPr="00891464" w:rsidRDefault="007F15E1" w:rsidP="007F15E1">
      <w:pPr>
        <w:pStyle w:val="Heading1"/>
        <w:spacing w:before="0" w:after="0"/>
        <w:ind w:left="907" w:hanging="648"/>
        <w:rPr>
          <w:b w:val="0"/>
          <w:sz w:val="20"/>
          <w:szCs w:val="20"/>
        </w:rPr>
      </w:pPr>
    </w:p>
    <w:p w:rsidR="00E82C2D" w:rsidRPr="00891464" w:rsidRDefault="00E82C2D" w:rsidP="00593F3F"/>
    <w:p w:rsidR="00D47E5B" w:rsidRPr="00891464" w:rsidRDefault="004051AC" w:rsidP="00855DBA">
      <w:pPr>
        <w:pStyle w:val="Heading1"/>
        <w:ind w:left="900" w:hanging="648"/>
        <w:jc w:val="both"/>
        <w:rPr>
          <w:bCs w:val="0"/>
          <w:sz w:val="20"/>
          <w:szCs w:val="20"/>
        </w:rPr>
      </w:pPr>
      <w:bookmarkStart w:id="45" w:name="_Toc103401435"/>
      <w:r w:rsidRPr="00891464">
        <w:rPr>
          <w:bCs w:val="0"/>
          <w:sz w:val="20"/>
          <w:szCs w:val="20"/>
        </w:rPr>
        <w:t>2.4.2</w:t>
      </w:r>
      <w:r w:rsidRPr="00891464">
        <w:rPr>
          <w:bCs w:val="0"/>
          <w:sz w:val="20"/>
          <w:szCs w:val="20"/>
        </w:rPr>
        <w:tab/>
        <w:t>Construction Experience</w:t>
      </w:r>
      <w:bookmarkEnd w:id="45"/>
      <w:r w:rsidR="00455C62" w:rsidRPr="00891464">
        <w:rPr>
          <w:bCs w:val="0"/>
          <w:sz w:val="20"/>
          <w:szCs w:val="20"/>
        </w:rPr>
        <w:t xml:space="preserve"> in Key Activities</w:t>
      </w:r>
    </w:p>
    <w:p w:rsidR="004051AC" w:rsidRPr="00891464" w:rsidRDefault="00A4706A" w:rsidP="0050691C">
      <w:pPr>
        <w:pStyle w:val="Heading1"/>
        <w:spacing w:before="120"/>
        <w:ind w:left="907"/>
        <w:jc w:val="both"/>
        <w:rPr>
          <w:b w:val="0"/>
          <w:sz w:val="16"/>
        </w:rPr>
      </w:pPr>
      <w:r w:rsidRPr="00891464">
        <w:rPr>
          <w:b w:val="0"/>
          <w:sz w:val="16"/>
        </w:rPr>
        <w:t xml:space="preserve">(May be complied </w:t>
      </w:r>
      <w:r w:rsidR="00D47E5B" w:rsidRPr="00891464">
        <w:rPr>
          <w:b w:val="0"/>
          <w:sz w:val="16"/>
        </w:rPr>
        <w:t xml:space="preserve">with </w:t>
      </w:r>
      <w:r w:rsidRPr="00891464">
        <w:rPr>
          <w:b w:val="0"/>
          <w:sz w:val="16"/>
        </w:rPr>
        <w:t>by Specialist Subcontractors. Employer shall require evidence of subcontracting agreement from the Bidder. Specialist Subcontractor is a specialist enterprise engaged for highly specialized processes which cannot be provided by the main Contractor.)</w:t>
      </w:r>
    </w:p>
    <w:p w:rsidR="00553994" w:rsidRPr="00891464" w:rsidRDefault="00553994" w:rsidP="00553994"/>
    <w:tbl>
      <w:tblPr>
        <w:tblW w:w="9120" w:type="dxa"/>
        <w:jc w:val="center"/>
        <w:tblCellMar>
          <w:left w:w="0" w:type="dxa"/>
          <w:right w:w="0" w:type="dxa"/>
        </w:tblCellMar>
        <w:tblLook w:val="0000" w:firstRow="0" w:lastRow="0" w:firstColumn="0" w:lastColumn="0" w:noHBand="0" w:noVBand="0"/>
      </w:tblPr>
      <w:tblGrid>
        <w:gridCol w:w="3071"/>
        <w:gridCol w:w="1106"/>
        <w:gridCol w:w="1108"/>
        <w:gridCol w:w="1099"/>
        <w:gridCol w:w="1099"/>
        <w:gridCol w:w="1637"/>
      </w:tblGrid>
      <w:tr w:rsidR="00A9329A" w:rsidRPr="00891464"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color w:val="FFFFFF"/>
                <w:sz w:val="16"/>
              </w:rPr>
            </w:pPr>
            <w:bookmarkStart w:id="46" w:name="_Toc103401437"/>
            <w:r w:rsidRPr="00891464">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color w:val="FFFFFF"/>
                <w:sz w:val="16"/>
              </w:rPr>
            </w:pPr>
            <w:r w:rsidRPr="00891464">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color w:val="FFFFFF"/>
                <w:sz w:val="16"/>
              </w:rPr>
            </w:pPr>
            <w:r w:rsidRPr="00891464">
              <w:rPr>
                <w:rFonts w:ascii="Arial" w:hAnsi="Arial" w:cs="Arial"/>
                <w:b/>
                <w:bCs/>
                <w:color w:val="FFFFFF"/>
                <w:sz w:val="16"/>
              </w:rPr>
              <w:t>Documents</w:t>
            </w:r>
          </w:p>
        </w:tc>
      </w:tr>
      <w:tr w:rsidR="00A9329A" w:rsidRPr="00891464" w:rsidTr="00321B53">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sz w:val="16"/>
              </w:rPr>
            </w:pPr>
            <w:r w:rsidRPr="00891464">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sz w:val="16"/>
              </w:rPr>
            </w:pPr>
            <w:r w:rsidRPr="00891464">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sz w:val="16"/>
              </w:rPr>
            </w:pPr>
            <w:r w:rsidRPr="00891464">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sz w:val="16"/>
              </w:rPr>
            </w:pPr>
            <w:r w:rsidRPr="00891464">
              <w:rPr>
                <w:rFonts w:ascii="Arial" w:hAnsi="Arial" w:cs="Arial"/>
                <w:b/>
                <w:bCs/>
                <w:sz w:val="16"/>
              </w:rPr>
              <w:t>Submission Requirements</w:t>
            </w:r>
          </w:p>
        </w:tc>
      </w:tr>
      <w:tr w:rsidR="00A9329A" w:rsidRPr="00891464" w:rsidTr="0060313E">
        <w:trPr>
          <w:cantSplit/>
          <w:trHeight w:val="465"/>
          <w:jc w:val="center"/>
        </w:trPr>
        <w:tc>
          <w:tcPr>
            <w:tcW w:w="0" w:type="auto"/>
            <w:vMerge/>
            <w:tcBorders>
              <w:top w:val="nil"/>
              <w:left w:val="single" w:sz="4" w:space="0" w:color="auto"/>
              <w:bottom w:val="single" w:sz="4" w:space="0" w:color="auto"/>
              <w:right w:val="nil"/>
            </w:tcBorders>
            <w:vAlign w:val="center"/>
          </w:tcPr>
          <w:p w:rsidR="00A9329A" w:rsidRPr="00891464"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A9329A" w:rsidRPr="00891464" w:rsidRDefault="00A9329A" w:rsidP="00321B53">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sz w:val="16"/>
                <w:szCs w:val="16"/>
              </w:rPr>
            </w:pPr>
            <w:r w:rsidRPr="00891464">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sz w:val="16"/>
                <w:szCs w:val="16"/>
              </w:rPr>
            </w:pPr>
            <w:r w:rsidRPr="00891464">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A9329A" w:rsidRPr="00891464" w:rsidRDefault="00A9329A" w:rsidP="00321B53">
            <w:pPr>
              <w:jc w:val="center"/>
              <w:rPr>
                <w:rFonts w:ascii="Arial" w:eastAsia="Arial Unicode MS" w:hAnsi="Arial" w:cs="Arial"/>
                <w:b/>
                <w:bCs/>
                <w:sz w:val="16"/>
                <w:szCs w:val="16"/>
              </w:rPr>
            </w:pPr>
            <w:r w:rsidRPr="00891464">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A9329A" w:rsidRPr="00891464" w:rsidRDefault="00A9329A" w:rsidP="00321B53">
            <w:pPr>
              <w:rPr>
                <w:rFonts w:ascii="Arial" w:eastAsia="Arial Unicode MS" w:hAnsi="Arial" w:cs="Arial"/>
                <w:b/>
                <w:bCs/>
                <w:sz w:val="16"/>
              </w:rPr>
            </w:pPr>
          </w:p>
        </w:tc>
      </w:tr>
      <w:bookmarkEnd w:id="46"/>
      <w:tr w:rsidR="004051AC" w:rsidRPr="00891464" w:rsidTr="0060313E">
        <w:trPr>
          <w:trHeight w:val="1272"/>
          <w:jc w:val="center"/>
        </w:trPr>
        <w:tc>
          <w:tcPr>
            <w:tcW w:w="3080" w:type="dxa"/>
            <w:tcBorders>
              <w:top w:val="single" w:sz="4" w:space="0" w:color="auto"/>
              <w:left w:val="single" w:sz="4" w:space="0" w:color="auto"/>
              <w:bottom w:val="dashed" w:sz="4" w:space="0" w:color="auto"/>
              <w:right w:val="nil"/>
            </w:tcBorders>
            <w:tcMar>
              <w:top w:w="15" w:type="dxa"/>
              <w:left w:w="15" w:type="dxa"/>
              <w:bottom w:w="0" w:type="dxa"/>
              <w:right w:w="15" w:type="dxa"/>
            </w:tcMar>
          </w:tcPr>
          <w:p w:rsidR="004051AC" w:rsidRPr="00891464" w:rsidRDefault="004051AC" w:rsidP="00A9329A">
            <w:pPr>
              <w:spacing w:before="60" w:after="60"/>
              <w:ind w:left="72" w:right="72"/>
              <w:rPr>
                <w:rFonts w:ascii="Arial" w:eastAsia="Arial Unicode MS" w:hAnsi="Arial" w:cs="Arial"/>
                <w:sz w:val="20"/>
                <w:szCs w:val="20"/>
              </w:rPr>
            </w:pPr>
            <w:r w:rsidRPr="00891464">
              <w:rPr>
                <w:rFonts w:ascii="Arial" w:hAnsi="Arial" w:cs="Arial"/>
                <w:sz w:val="20"/>
                <w:szCs w:val="20"/>
              </w:rPr>
              <w:t xml:space="preserve">For the above or other contracts executed during the period stipulated in </w:t>
            </w:r>
            <w:r w:rsidR="0048251B" w:rsidRPr="00891464">
              <w:rPr>
                <w:rFonts w:ascii="Arial" w:hAnsi="Arial" w:cs="Arial"/>
                <w:sz w:val="20"/>
                <w:szCs w:val="20"/>
              </w:rPr>
              <w:t>2.</w:t>
            </w:r>
            <w:r w:rsidRPr="00891464">
              <w:rPr>
                <w:rFonts w:ascii="Arial" w:hAnsi="Arial" w:cs="Arial"/>
                <w:sz w:val="20"/>
                <w:szCs w:val="20"/>
              </w:rPr>
              <w:t>4.</w:t>
            </w:r>
            <w:r w:rsidR="00A9329A" w:rsidRPr="00891464">
              <w:rPr>
                <w:rFonts w:ascii="Arial" w:hAnsi="Arial" w:cs="Arial"/>
                <w:sz w:val="20"/>
                <w:szCs w:val="20"/>
              </w:rPr>
              <w:t>1</w:t>
            </w:r>
            <w:r w:rsidRPr="00891464">
              <w:rPr>
                <w:rFonts w:ascii="Arial" w:hAnsi="Arial" w:cs="Arial"/>
                <w:sz w:val="20"/>
                <w:szCs w:val="20"/>
              </w:rPr>
              <w:t xml:space="preserve"> above, a minimum construction experience </w:t>
            </w:r>
            <w:proofErr w:type="gramStart"/>
            <w:r w:rsidRPr="00891464">
              <w:rPr>
                <w:rFonts w:ascii="Arial" w:hAnsi="Arial" w:cs="Arial"/>
                <w:sz w:val="20"/>
                <w:szCs w:val="20"/>
              </w:rPr>
              <w:t>in  the</w:t>
            </w:r>
            <w:proofErr w:type="gramEnd"/>
            <w:r w:rsidRPr="00891464">
              <w:rPr>
                <w:rFonts w:ascii="Arial" w:hAnsi="Arial" w:cs="Arial"/>
                <w:sz w:val="20"/>
                <w:szCs w:val="20"/>
              </w:rPr>
              <w:t xml:space="preserve"> following key activities:</w:t>
            </w:r>
          </w:p>
        </w:tc>
        <w:tc>
          <w:tcPr>
            <w:tcW w:w="1100"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rsidR="004051AC" w:rsidRPr="00891464" w:rsidRDefault="004051AC">
            <w:pPr>
              <w:spacing w:before="60"/>
              <w:ind w:right="72"/>
              <w:jc w:val="center"/>
              <w:rPr>
                <w:rFonts w:ascii="Arial" w:hAnsi="Arial" w:cs="Arial"/>
                <w:sz w:val="16"/>
                <w:szCs w:val="18"/>
              </w:rPr>
            </w:pPr>
            <w:r w:rsidRPr="00891464">
              <w:rPr>
                <w:rFonts w:ascii="Arial" w:hAnsi="Arial" w:cs="Arial"/>
                <w:sz w:val="16"/>
                <w:szCs w:val="18"/>
              </w:rPr>
              <w:t>must meet</w:t>
            </w:r>
          </w:p>
          <w:p w:rsidR="004051AC" w:rsidRPr="00891464" w:rsidRDefault="004051AC">
            <w:pPr>
              <w:spacing w:before="60"/>
              <w:ind w:left="70" w:right="72"/>
              <w:jc w:val="center"/>
              <w:rPr>
                <w:rFonts w:ascii="Arial" w:eastAsia="Arial Unicode MS" w:hAnsi="Arial" w:cs="Arial"/>
                <w:sz w:val="16"/>
                <w:szCs w:val="18"/>
              </w:rPr>
            </w:pPr>
            <w:r w:rsidRPr="00891464">
              <w:rPr>
                <w:rFonts w:ascii="Arial" w:hAnsi="Arial" w:cs="Arial"/>
                <w:sz w:val="16"/>
                <w:szCs w:val="18"/>
              </w:rPr>
              <w:t>requirements</w:t>
            </w:r>
          </w:p>
        </w:tc>
        <w:tc>
          <w:tcPr>
            <w:tcW w:w="1100"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Pr="00891464" w:rsidRDefault="004051AC">
            <w:pPr>
              <w:spacing w:before="60"/>
              <w:ind w:right="72"/>
              <w:jc w:val="center"/>
              <w:rPr>
                <w:rFonts w:ascii="Arial" w:hAnsi="Arial" w:cs="Arial"/>
                <w:sz w:val="16"/>
                <w:szCs w:val="18"/>
              </w:rPr>
            </w:pPr>
            <w:r w:rsidRPr="00891464">
              <w:rPr>
                <w:rFonts w:ascii="Arial" w:hAnsi="Arial" w:cs="Arial"/>
                <w:sz w:val="16"/>
                <w:szCs w:val="18"/>
              </w:rPr>
              <w:t>must meet</w:t>
            </w:r>
          </w:p>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8"/>
              </w:rPr>
              <w:t>requirements</w:t>
            </w:r>
          </w:p>
        </w:tc>
        <w:tc>
          <w:tcPr>
            <w:tcW w:w="1100" w:type="dxa"/>
            <w:tcBorders>
              <w:top w:val="single" w:sz="4" w:space="0" w:color="auto"/>
              <w:left w:val="nil"/>
              <w:bottom w:val="dashed" w:sz="4" w:space="0" w:color="auto"/>
              <w:right w:val="single" w:sz="4" w:space="0" w:color="auto"/>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6"/>
              </w:rPr>
              <w:t>not applicable</w:t>
            </w:r>
          </w:p>
        </w:tc>
        <w:tc>
          <w:tcPr>
            <w:tcW w:w="1100" w:type="dxa"/>
            <w:tcBorders>
              <w:top w:val="single" w:sz="4" w:space="0" w:color="auto"/>
              <w:left w:val="nil"/>
              <w:bottom w:val="dashed" w:sz="4" w:space="0" w:color="auto"/>
              <w:right w:val="nil"/>
            </w:tcBorders>
            <w:tcMar>
              <w:top w:w="15" w:type="dxa"/>
              <w:left w:w="15" w:type="dxa"/>
              <w:bottom w:w="0" w:type="dxa"/>
              <w:right w:w="15" w:type="dxa"/>
            </w:tcMar>
          </w:tcPr>
          <w:p w:rsidR="004051AC" w:rsidRPr="00891464" w:rsidRDefault="004051AC">
            <w:pPr>
              <w:spacing w:before="60" w:after="60"/>
              <w:ind w:left="72" w:right="72"/>
              <w:jc w:val="center"/>
              <w:rPr>
                <w:rFonts w:ascii="Arial" w:eastAsia="Arial Unicode MS" w:hAnsi="Arial" w:cs="Arial"/>
                <w:sz w:val="16"/>
                <w:szCs w:val="18"/>
              </w:rPr>
            </w:pPr>
            <w:r w:rsidRPr="00891464">
              <w:rPr>
                <w:rFonts w:ascii="Arial" w:hAnsi="Arial" w:cs="Arial"/>
                <w:sz w:val="16"/>
                <w:szCs w:val="16"/>
              </w:rPr>
              <w:t>not applicable</w:t>
            </w:r>
          </w:p>
        </w:tc>
        <w:tc>
          <w:tcPr>
            <w:tcW w:w="164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Pr="00891464" w:rsidRDefault="00B605CD" w:rsidP="00A9329A">
            <w:pPr>
              <w:spacing w:before="60" w:after="60"/>
              <w:ind w:left="72" w:right="72"/>
              <w:jc w:val="center"/>
              <w:rPr>
                <w:rFonts w:ascii="Arial" w:eastAsia="Arial Unicode MS" w:hAnsi="Arial" w:cs="Arial"/>
                <w:sz w:val="16"/>
                <w:szCs w:val="18"/>
              </w:rPr>
            </w:pPr>
            <w:r w:rsidRPr="00891464">
              <w:rPr>
                <w:rFonts w:ascii="Arial" w:hAnsi="Arial" w:cs="Arial"/>
                <w:sz w:val="16"/>
                <w:szCs w:val="18"/>
              </w:rPr>
              <w:t>Form EXP-2</w:t>
            </w:r>
          </w:p>
        </w:tc>
      </w:tr>
      <w:tr w:rsidR="004051AC"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Pr="005D3D7A" w:rsidRDefault="005D3D7A" w:rsidP="005C2827">
            <w:pPr>
              <w:spacing w:before="120" w:after="120"/>
              <w:ind w:right="72"/>
              <w:jc w:val="center"/>
              <w:rPr>
                <w:rFonts w:ascii="Arial" w:eastAsia="Arial Unicode MS" w:hAnsi="Arial" w:cs="Arial"/>
                <w:b/>
                <w:i/>
                <w:sz w:val="16"/>
                <w:szCs w:val="18"/>
              </w:rPr>
            </w:pPr>
            <w:r w:rsidRPr="00891464">
              <w:rPr>
                <w:rFonts w:ascii="Arial" w:eastAsia="Arial Unicode MS" w:hAnsi="Arial" w:cs="Arial"/>
                <w:b/>
                <w:i/>
                <w:sz w:val="20"/>
                <w:szCs w:val="18"/>
              </w:rPr>
              <w:t>Not Applicable</w:t>
            </w:r>
            <w:bookmarkStart w:id="47" w:name="_GoBack"/>
            <w:bookmarkEnd w:id="47"/>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r>
      <w:tr w:rsidR="00553994" w:rsidTr="0060313E">
        <w:trPr>
          <w:trHeight w:val="488"/>
          <w:jc w:val="center"/>
        </w:trPr>
        <w:tc>
          <w:tcPr>
            <w:tcW w:w="3080" w:type="dxa"/>
            <w:tcBorders>
              <w:top w:val="dashed" w:sz="4" w:space="0" w:color="auto"/>
              <w:left w:val="single" w:sz="4" w:space="0" w:color="auto"/>
              <w:bottom w:val="single" w:sz="4" w:space="0" w:color="auto"/>
              <w:right w:val="nil"/>
            </w:tcBorders>
            <w:tcMar>
              <w:top w:w="15" w:type="dxa"/>
              <w:left w:w="15" w:type="dxa"/>
              <w:bottom w:w="0" w:type="dxa"/>
              <w:right w:w="15" w:type="dxa"/>
            </w:tcMar>
          </w:tcPr>
          <w:p w:rsidR="0060687F" w:rsidRDefault="0060687F" w:rsidP="0060687F">
            <w:pPr>
              <w:spacing w:before="60" w:after="60"/>
              <w:ind w:right="72"/>
              <w:rPr>
                <w:rFonts w:ascii="Arial" w:hAnsi="Arial" w:cs="Arial"/>
                <w:sz w:val="16"/>
                <w:szCs w:val="18"/>
              </w:rPr>
            </w:pPr>
          </w:p>
        </w:tc>
        <w:tc>
          <w:tcPr>
            <w:tcW w:w="1100" w:type="dxa"/>
            <w:tcBorders>
              <w:top w:val="dashed" w:sz="4" w:space="0" w:color="auto"/>
              <w:left w:val="single" w:sz="12" w:space="0" w:color="auto"/>
              <w:bottom w:val="single"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tbl>
    <w:p w:rsidR="004051AC" w:rsidRDefault="004051AC">
      <w:pPr>
        <w:pStyle w:val="i"/>
        <w:suppressAutoHyphens w:val="0"/>
        <w:rPr>
          <w:rFonts w:ascii="Arial" w:hAnsi="Arial" w:cs="Arial"/>
          <w:sz w:val="16"/>
        </w:rPr>
      </w:pPr>
    </w:p>
    <w:sectPr w:rsidR="004051AC"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685A" w:rsidRDefault="004C685A">
      <w:r>
        <w:separator/>
      </w:r>
    </w:p>
  </w:endnote>
  <w:endnote w:type="continuationSeparator" w:id="0">
    <w:p w:rsidR="004C685A" w:rsidRDefault="004C6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Bidding Document 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____________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rsidR="00A60305" w:rsidRDefault="00A60305" w:rsidP="000660E6">
    <w:pPr>
      <w:pStyle w:val="Footer"/>
      <w:tabs>
        <w:tab w:val="clear" w:pos="9504"/>
        <w:tab w:val="right" w:pos="9666"/>
      </w:tabs>
      <w:spacing w:before="0"/>
      <w:rPr>
        <w:lang w:val="en-US"/>
      </w:rPr>
    </w:pPr>
    <w:r>
      <w:rPr>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685A" w:rsidRDefault="004C685A">
      <w:r>
        <w:separator/>
      </w:r>
    </w:p>
  </w:footnote>
  <w:footnote w:type="continuationSeparator" w:id="0">
    <w:p w:rsidR="004C685A" w:rsidRDefault="004C68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305" w:rsidRDefault="00A60305">
    <w:pPr>
      <w:pStyle w:val="Header"/>
      <w:tabs>
        <w:tab w:val="clear" w:pos="9000"/>
        <w:tab w:val="right" w:pos="9657"/>
      </w:tabs>
      <w:rPr>
        <w:lang w:val="en-US"/>
      </w:rPr>
    </w:pPr>
    <w:r>
      <w:rPr>
        <w:rStyle w:val="PageNumber"/>
        <w:rFonts w:cs="Arial"/>
        <w:sz w:val="16"/>
      </w:rPr>
      <w:t>3-</w:t>
    </w:r>
    <w:r w:rsidR="00F61857">
      <w:rPr>
        <w:rStyle w:val="PageNumber"/>
        <w:rFonts w:cs="Arial"/>
        <w:sz w:val="16"/>
        <w:lang w:val="en-US"/>
      </w:rPr>
      <w:fldChar w:fldCharType="begin"/>
    </w:r>
    <w:r>
      <w:rPr>
        <w:rStyle w:val="PageNumber"/>
        <w:rFonts w:cs="Arial"/>
        <w:sz w:val="16"/>
        <w:lang w:val="en-US"/>
      </w:rPr>
      <w:instrText xml:space="preserve"> PAGE </w:instrText>
    </w:r>
    <w:r w:rsidR="00F61857">
      <w:rPr>
        <w:rStyle w:val="PageNumber"/>
        <w:rFonts w:cs="Arial"/>
        <w:sz w:val="16"/>
        <w:lang w:val="en-US"/>
      </w:rPr>
      <w:fldChar w:fldCharType="separate"/>
    </w:r>
    <w:r w:rsidR="00B5796A">
      <w:rPr>
        <w:rStyle w:val="PageNumber"/>
        <w:rFonts w:cs="Arial"/>
        <w:noProof/>
        <w:sz w:val="16"/>
        <w:lang w:val="en-US"/>
      </w:rPr>
      <w:t>6</w:t>
    </w:r>
    <w:r w:rsidR="00F61857">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w:t>
    </w:r>
    <w:r w:rsidR="00DC4090">
      <w:rPr>
        <w:rStyle w:val="PageNumber"/>
        <w:rFonts w:cs="Arial"/>
        <w:sz w:val="16"/>
      </w:rPr>
      <w:t>–</w:t>
    </w:r>
    <w:r>
      <w:rPr>
        <w:rStyle w:val="PageNumber"/>
        <w:rFonts w:cs="Arial"/>
        <w:sz w:val="16"/>
      </w:rPr>
      <w:t xml:space="preserve"> </w:t>
    </w:r>
    <w:r w:rsidRPr="009A5CA8">
      <w:rPr>
        <w:rStyle w:val="PageNumber"/>
        <w:rFonts w:cs="Arial"/>
        <w:sz w:val="16"/>
        <w:lang w:val="en-US"/>
      </w:rPr>
      <w:t>Evaluation</w:t>
    </w:r>
    <w:r w:rsidR="00DC4090">
      <w:rPr>
        <w:rStyle w:val="PageNumber"/>
        <w:rFonts w:cs="Arial"/>
        <w:sz w:val="16"/>
        <w:lang w:val="en-US"/>
      </w:rPr>
      <w:t xml:space="preserve"> </w:t>
    </w:r>
    <w:r>
      <w:rPr>
        <w:rStyle w:val="PageNumber"/>
        <w:rFonts w:cs="Arial"/>
        <w:sz w:val="16"/>
        <w:lang w:val="en-US"/>
      </w:rPr>
      <w:t>and Qualification Criteria</w:t>
    </w:r>
    <w:r>
      <w:rPr>
        <w:rStyle w:val="PageNumber"/>
        <w:rFonts w:cs="Arial"/>
        <w:sz w:val="16"/>
      </w:rPr>
      <w:tab/>
      <w:t>3-</w:t>
    </w:r>
    <w:r w:rsidR="00F61857">
      <w:rPr>
        <w:rStyle w:val="PageNumber"/>
        <w:rFonts w:cs="Arial"/>
        <w:sz w:val="16"/>
      </w:rPr>
      <w:fldChar w:fldCharType="begin"/>
    </w:r>
    <w:r>
      <w:rPr>
        <w:rStyle w:val="PageNumber"/>
        <w:rFonts w:cs="Arial"/>
        <w:sz w:val="16"/>
      </w:rPr>
      <w:instrText xml:space="preserve"> PAGE </w:instrText>
    </w:r>
    <w:r w:rsidR="00F61857">
      <w:rPr>
        <w:rStyle w:val="PageNumber"/>
        <w:rFonts w:cs="Arial"/>
        <w:sz w:val="16"/>
      </w:rPr>
      <w:fldChar w:fldCharType="separate"/>
    </w:r>
    <w:r w:rsidR="00B5796A">
      <w:rPr>
        <w:rStyle w:val="PageNumber"/>
        <w:rFonts w:cs="Arial"/>
        <w:noProof/>
        <w:sz w:val="16"/>
      </w:rPr>
      <w:t>5</w:t>
    </w:r>
    <w:r w:rsidR="00F61857">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15:restartNumberingAfterBreak="0">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FA2"/>
    <w:rsid w:val="000240DA"/>
    <w:rsid w:val="000247CC"/>
    <w:rsid w:val="0002515D"/>
    <w:rsid w:val="00031ECE"/>
    <w:rsid w:val="00034BE8"/>
    <w:rsid w:val="00035642"/>
    <w:rsid w:val="000446BC"/>
    <w:rsid w:val="000450B9"/>
    <w:rsid w:val="00046FF7"/>
    <w:rsid w:val="00047D4E"/>
    <w:rsid w:val="00054CF2"/>
    <w:rsid w:val="000660E6"/>
    <w:rsid w:val="0006774E"/>
    <w:rsid w:val="00077499"/>
    <w:rsid w:val="00085ED6"/>
    <w:rsid w:val="000943B8"/>
    <w:rsid w:val="000A2CF9"/>
    <w:rsid w:val="000A6A36"/>
    <w:rsid w:val="000B1BF9"/>
    <w:rsid w:val="000B6E1C"/>
    <w:rsid w:val="000C3B92"/>
    <w:rsid w:val="000C4D90"/>
    <w:rsid w:val="000E75F4"/>
    <w:rsid w:val="000F72CD"/>
    <w:rsid w:val="00101428"/>
    <w:rsid w:val="0010410A"/>
    <w:rsid w:val="00126376"/>
    <w:rsid w:val="00130AE8"/>
    <w:rsid w:val="00130B18"/>
    <w:rsid w:val="00132020"/>
    <w:rsid w:val="00133AEF"/>
    <w:rsid w:val="001365EB"/>
    <w:rsid w:val="00143DCF"/>
    <w:rsid w:val="00147C08"/>
    <w:rsid w:val="00166BC7"/>
    <w:rsid w:val="00167711"/>
    <w:rsid w:val="001774B6"/>
    <w:rsid w:val="00183353"/>
    <w:rsid w:val="00183719"/>
    <w:rsid w:val="001849DE"/>
    <w:rsid w:val="00185262"/>
    <w:rsid w:val="00195162"/>
    <w:rsid w:val="001B1290"/>
    <w:rsid w:val="001C5BE9"/>
    <w:rsid w:val="001E0940"/>
    <w:rsid w:val="001E1A01"/>
    <w:rsid w:val="001E540B"/>
    <w:rsid w:val="001E6350"/>
    <w:rsid w:val="001F3529"/>
    <w:rsid w:val="001F5C5B"/>
    <w:rsid w:val="001F73D5"/>
    <w:rsid w:val="0020107D"/>
    <w:rsid w:val="00213684"/>
    <w:rsid w:val="00214E82"/>
    <w:rsid w:val="002235F9"/>
    <w:rsid w:val="002244C6"/>
    <w:rsid w:val="00226C98"/>
    <w:rsid w:val="00230358"/>
    <w:rsid w:val="00234A55"/>
    <w:rsid w:val="00253A21"/>
    <w:rsid w:val="002604E8"/>
    <w:rsid w:val="002730BD"/>
    <w:rsid w:val="00283522"/>
    <w:rsid w:val="00291354"/>
    <w:rsid w:val="002B1951"/>
    <w:rsid w:val="002D01D9"/>
    <w:rsid w:val="002D2473"/>
    <w:rsid w:val="002D5A65"/>
    <w:rsid w:val="002E2BDC"/>
    <w:rsid w:val="002E5B5B"/>
    <w:rsid w:val="002F0235"/>
    <w:rsid w:val="002F18D9"/>
    <w:rsid w:val="003136D2"/>
    <w:rsid w:val="00314E22"/>
    <w:rsid w:val="00316814"/>
    <w:rsid w:val="00321B53"/>
    <w:rsid w:val="00322E6E"/>
    <w:rsid w:val="00323723"/>
    <w:rsid w:val="00335587"/>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0218"/>
    <w:rsid w:val="004051AC"/>
    <w:rsid w:val="00423C77"/>
    <w:rsid w:val="00423FB2"/>
    <w:rsid w:val="0045043B"/>
    <w:rsid w:val="004515A8"/>
    <w:rsid w:val="00451B62"/>
    <w:rsid w:val="004539A6"/>
    <w:rsid w:val="00455C62"/>
    <w:rsid w:val="00455D51"/>
    <w:rsid w:val="0048251B"/>
    <w:rsid w:val="004836B6"/>
    <w:rsid w:val="00487C5B"/>
    <w:rsid w:val="004A0FBF"/>
    <w:rsid w:val="004A3FF6"/>
    <w:rsid w:val="004B4BD9"/>
    <w:rsid w:val="004C41BC"/>
    <w:rsid w:val="004C685A"/>
    <w:rsid w:val="004D41F0"/>
    <w:rsid w:val="004E2B77"/>
    <w:rsid w:val="004E57ED"/>
    <w:rsid w:val="004E59F7"/>
    <w:rsid w:val="004E5C86"/>
    <w:rsid w:val="004F4025"/>
    <w:rsid w:val="00502A57"/>
    <w:rsid w:val="00502A5A"/>
    <w:rsid w:val="0050691C"/>
    <w:rsid w:val="00512939"/>
    <w:rsid w:val="00517EE0"/>
    <w:rsid w:val="00521388"/>
    <w:rsid w:val="005259BE"/>
    <w:rsid w:val="005375D0"/>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34410"/>
    <w:rsid w:val="0064528A"/>
    <w:rsid w:val="0064653F"/>
    <w:rsid w:val="006508F9"/>
    <w:rsid w:val="006562B5"/>
    <w:rsid w:val="00673B9B"/>
    <w:rsid w:val="00683017"/>
    <w:rsid w:val="00687300"/>
    <w:rsid w:val="00692D56"/>
    <w:rsid w:val="006C20B2"/>
    <w:rsid w:val="006E39DC"/>
    <w:rsid w:val="0070477E"/>
    <w:rsid w:val="00706A14"/>
    <w:rsid w:val="00707601"/>
    <w:rsid w:val="00714C5E"/>
    <w:rsid w:val="00723A70"/>
    <w:rsid w:val="00737DC0"/>
    <w:rsid w:val="00767582"/>
    <w:rsid w:val="007831BC"/>
    <w:rsid w:val="00795F7A"/>
    <w:rsid w:val="007962FE"/>
    <w:rsid w:val="007A19FD"/>
    <w:rsid w:val="007A23ED"/>
    <w:rsid w:val="007B71F6"/>
    <w:rsid w:val="007B75FF"/>
    <w:rsid w:val="007E7213"/>
    <w:rsid w:val="007F15E1"/>
    <w:rsid w:val="007F5498"/>
    <w:rsid w:val="007F5693"/>
    <w:rsid w:val="007F7565"/>
    <w:rsid w:val="00802D9E"/>
    <w:rsid w:val="008050CB"/>
    <w:rsid w:val="0081136A"/>
    <w:rsid w:val="00821ECD"/>
    <w:rsid w:val="00822D52"/>
    <w:rsid w:val="00825CBC"/>
    <w:rsid w:val="00830E50"/>
    <w:rsid w:val="00831968"/>
    <w:rsid w:val="00836DEF"/>
    <w:rsid w:val="0083722F"/>
    <w:rsid w:val="008458CC"/>
    <w:rsid w:val="0084597C"/>
    <w:rsid w:val="00855DBA"/>
    <w:rsid w:val="00857417"/>
    <w:rsid w:val="00874269"/>
    <w:rsid w:val="008761D8"/>
    <w:rsid w:val="00886A5E"/>
    <w:rsid w:val="00886BF2"/>
    <w:rsid w:val="00891464"/>
    <w:rsid w:val="0089312A"/>
    <w:rsid w:val="00896CAF"/>
    <w:rsid w:val="008A5E6E"/>
    <w:rsid w:val="008B5F93"/>
    <w:rsid w:val="008C1799"/>
    <w:rsid w:val="008C3D44"/>
    <w:rsid w:val="008D630A"/>
    <w:rsid w:val="008E56DF"/>
    <w:rsid w:val="008E58D1"/>
    <w:rsid w:val="008F48C6"/>
    <w:rsid w:val="008F50AC"/>
    <w:rsid w:val="008F7D49"/>
    <w:rsid w:val="009205A7"/>
    <w:rsid w:val="00927F52"/>
    <w:rsid w:val="009452AF"/>
    <w:rsid w:val="009520B3"/>
    <w:rsid w:val="009632B6"/>
    <w:rsid w:val="00964805"/>
    <w:rsid w:val="00975681"/>
    <w:rsid w:val="00976ACC"/>
    <w:rsid w:val="00984A89"/>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16646"/>
    <w:rsid w:val="00A2156A"/>
    <w:rsid w:val="00A34D33"/>
    <w:rsid w:val="00A3626A"/>
    <w:rsid w:val="00A46243"/>
    <w:rsid w:val="00A4706A"/>
    <w:rsid w:val="00A54B19"/>
    <w:rsid w:val="00A56EE4"/>
    <w:rsid w:val="00A60305"/>
    <w:rsid w:val="00A63028"/>
    <w:rsid w:val="00A67E77"/>
    <w:rsid w:val="00A9329A"/>
    <w:rsid w:val="00A95D9C"/>
    <w:rsid w:val="00AA625B"/>
    <w:rsid w:val="00AC1699"/>
    <w:rsid w:val="00AC3176"/>
    <w:rsid w:val="00AC6AA8"/>
    <w:rsid w:val="00AD5107"/>
    <w:rsid w:val="00AE1417"/>
    <w:rsid w:val="00AE155B"/>
    <w:rsid w:val="00AE503D"/>
    <w:rsid w:val="00AE775F"/>
    <w:rsid w:val="00AF59E0"/>
    <w:rsid w:val="00AF7EA3"/>
    <w:rsid w:val="00B03E9E"/>
    <w:rsid w:val="00B12102"/>
    <w:rsid w:val="00B133F9"/>
    <w:rsid w:val="00B15368"/>
    <w:rsid w:val="00B17F8E"/>
    <w:rsid w:val="00B40DEF"/>
    <w:rsid w:val="00B466F0"/>
    <w:rsid w:val="00B56057"/>
    <w:rsid w:val="00B568DE"/>
    <w:rsid w:val="00B5796A"/>
    <w:rsid w:val="00B605CD"/>
    <w:rsid w:val="00B64756"/>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313F6"/>
    <w:rsid w:val="00C358FB"/>
    <w:rsid w:val="00C36A2F"/>
    <w:rsid w:val="00C45BBD"/>
    <w:rsid w:val="00C64720"/>
    <w:rsid w:val="00C70A0E"/>
    <w:rsid w:val="00C70F82"/>
    <w:rsid w:val="00C77F9A"/>
    <w:rsid w:val="00C85B2D"/>
    <w:rsid w:val="00CA08A7"/>
    <w:rsid w:val="00CA7522"/>
    <w:rsid w:val="00CB4EBE"/>
    <w:rsid w:val="00CB5F4C"/>
    <w:rsid w:val="00CC68CE"/>
    <w:rsid w:val="00CE2B60"/>
    <w:rsid w:val="00CE3903"/>
    <w:rsid w:val="00D00747"/>
    <w:rsid w:val="00D0074D"/>
    <w:rsid w:val="00D040BE"/>
    <w:rsid w:val="00D100C9"/>
    <w:rsid w:val="00D12DD8"/>
    <w:rsid w:val="00D33E68"/>
    <w:rsid w:val="00D36870"/>
    <w:rsid w:val="00D442A6"/>
    <w:rsid w:val="00D47E5B"/>
    <w:rsid w:val="00D530AE"/>
    <w:rsid w:val="00D75183"/>
    <w:rsid w:val="00D77C4C"/>
    <w:rsid w:val="00D8565C"/>
    <w:rsid w:val="00D903A0"/>
    <w:rsid w:val="00D93F54"/>
    <w:rsid w:val="00D9710E"/>
    <w:rsid w:val="00DB7194"/>
    <w:rsid w:val="00DB7D5B"/>
    <w:rsid w:val="00DC0E77"/>
    <w:rsid w:val="00DC30EE"/>
    <w:rsid w:val="00DC4090"/>
    <w:rsid w:val="00DC45AE"/>
    <w:rsid w:val="00DD6D11"/>
    <w:rsid w:val="00E0746D"/>
    <w:rsid w:val="00E16A29"/>
    <w:rsid w:val="00E24DD4"/>
    <w:rsid w:val="00E30DFA"/>
    <w:rsid w:val="00E32063"/>
    <w:rsid w:val="00E32540"/>
    <w:rsid w:val="00E32580"/>
    <w:rsid w:val="00E34F1E"/>
    <w:rsid w:val="00E34FA2"/>
    <w:rsid w:val="00E40616"/>
    <w:rsid w:val="00E43A1E"/>
    <w:rsid w:val="00E551F9"/>
    <w:rsid w:val="00E61F17"/>
    <w:rsid w:val="00E6485D"/>
    <w:rsid w:val="00E65B76"/>
    <w:rsid w:val="00E75D42"/>
    <w:rsid w:val="00E800CA"/>
    <w:rsid w:val="00E82C2D"/>
    <w:rsid w:val="00EA1832"/>
    <w:rsid w:val="00EA64BD"/>
    <w:rsid w:val="00EA7208"/>
    <w:rsid w:val="00EC1293"/>
    <w:rsid w:val="00EC2BF9"/>
    <w:rsid w:val="00ED075E"/>
    <w:rsid w:val="00EE08E7"/>
    <w:rsid w:val="00EE3B93"/>
    <w:rsid w:val="00EF4C8E"/>
    <w:rsid w:val="00EF59A0"/>
    <w:rsid w:val="00F02152"/>
    <w:rsid w:val="00F0687C"/>
    <w:rsid w:val="00F21F65"/>
    <w:rsid w:val="00F22B0B"/>
    <w:rsid w:val="00F263FD"/>
    <w:rsid w:val="00F277B9"/>
    <w:rsid w:val="00F36C8C"/>
    <w:rsid w:val="00F43512"/>
    <w:rsid w:val="00F47339"/>
    <w:rsid w:val="00F47A43"/>
    <w:rsid w:val="00F53132"/>
    <w:rsid w:val="00F56008"/>
    <w:rsid w:val="00F61055"/>
    <w:rsid w:val="00F61857"/>
    <w:rsid w:val="00F67CCC"/>
    <w:rsid w:val="00F73D03"/>
    <w:rsid w:val="00F74F49"/>
    <w:rsid w:val="00F77ACE"/>
    <w:rsid w:val="00F84893"/>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38CCF9-497E-403B-8D8C-C8A43F1A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39406-5682-42E4-A63D-3AB5B52D4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1291</Words>
  <Characters>7568</Characters>
  <Application>Microsoft Office Word</Application>
  <DocSecurity>0</DocSecurity>
  <Lines>302</Lines>
  <Paragraphs>221</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Yashpal Malik</cp:lastModifiedBy>
  <cp:revision>3</cp:revision>
  <cp:lastPrinted>2005-07-29T10:34:00Z</cp:lastPrinted>
  <dcterms:created xsi:type="dcterms:W3CDTF">2019-11-13T07:01:00Z</dcterms:created>
  <dcterms:modified xsi:type="dcterms:W3CDTF">2019-11-13T09:20:00Z</dcterms:modified>
</cp:coreProperties>
</file>